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AA700" w14:textId="3A5F8CB7" w:rsidR="008C392C" w:rsidRPr="00C15D48" w:rsidRDefault="008C392C" w:rsidP="008C392C">
      <w:pPr>
        <w:tabs>
          <w:tab w:val="center" w:pos="4536"/>
          <w:tab w:val="right" w:pos="8280"/>
          <w:tab w:val="right" w:pos="9639"/>
        </w:tabs>
        <w:ind w:right="2"/>
        <w:rPr>
          <w:rFonts w:ascii="Arial" w:hAnsi="Arial" w:cs="Arial"/>
          <w:b/>
          <w:bCs/>
          <w:sz w:val="28"/>
          <w:szCs w:val="28"/>
          <w:lang w:val="en-US"/>
        </w:rPr>
      </w:pPr>
      <w:r w:rsidRPr="00D266A9">
        <w:rPr>
          <w:rFonts w:ascii="Arial" w:hAnsi="Arial" w:cs="Arial"/>
          <w:b/>
          <w:bCs/>
          <w:sz w:val="28"/>
          <w:szCs w:val="28"/>
          <w:lang w:val="en-US"/>
        </w:rPr>
        <w:t>3GPP TSG RAN WG1 Meeting #91</w:t>
      </w:r>
      <w:r w:rsidRPr="00D266A9">
        <w:rPr>
          <w:rFonts w:ascii="Arial" w:hAnsi="Arial" w:cs="Arial"/>
          <w:b/>
          <w:bCs/>
          <w:sz w:val="28"/>
          <w:szCs w:val="28"/>
          <w:lang w:val="en-US"/>
        </w:rPr>
        <w:tab/>
        <w:t xml:space="preserve">                        </w:t>
      </w:r>
      <w:r w:rsidR="00BA5872">
        <w:rPr>
          <w:rFonts w:ascii="Arial" w:hAnsi="Arial" w:cs="Arial"/>
          <w:b/>
          <w:bCs/>
          <w:sz w:val="28"/>
          <w:szCs w:val="28"/>
          <w:lang w:val="en-US"/>
        </w:rPr>
        <w:t xml:space="preserve">      </w:t>
      </w:r>
      <w:bookmarkStart w:id="0" w:name="_GoBack"/>
      <w:bookmarkEnd w:id="0"/>
      <w:r w:rsidRPr="00D266A9">
        <w:rPr>
          <w:rFonts w:ascii="Arial" w:hAnsi="Arial" w:cs="Arial"/>
          <w:b/>
          <w:bCs/>
          <w:sz w:val="28"/>
          <w:szCs w:val="28"/>
          <w:lang w:val="en-US"/>
        </w:rPr>
        <w:t>R1-</w:t>
      </w:r>
      <w:r w:rsidR="00D266A9" w:rsidRPr="00D266A9">
        <w:rPr>
          <w:rFonts w:ascii="Arial" w:hAnsi="Arial" w:cs="Arial"/>
          <w:b/>
          <w:bCs/>
          <w:sz w:val="28"/>
          <w:szCs w:val="28"/>
          <w:lang w:val="en-US"/>
        </w:rPr>
        <w:t>1720944</w:t>
      </w:r>
    </w:p>
    <w:p w14:paraId="52E57C12" w14:textId="53C52413" w:rsidR="008C392C" w:rsidRPr="007D3825" w:rsidRDefault="008C392C" w:rsidP="008C392C">
      <w:pPr>
        <w:tabs>
          <w:tab w:val="center" w:pos="4536"/>
          <w:tab w:val="right" w:pos="8280"/>
          <w:tab w:val="right" w:pos="9781"/>
        </w:tabs>
        <w:ind w:right="-58"/>
        <w:rPr>
          <w:rFonts w:ascii="Arial" w:eastAsia="MS Mincho" w:hAnsi="Arial" w:cs="Arial"/>
          <w:b/>
          <w:bCs/>
          <w:sz w:val="28"/>
          <w:szCs w:val="28"/>
          <w:lang w:val="en-US" w:eastAsia="ja-JP"/>
        </w:rPr>
      </w:pPr>
      <w:r w:rsidRPr="00385C20">
        <w:rPr>
          <w:rFonts w:ascii="Arial" w:hAnsi="Arial" w:cs="Arial"/>
          <w:b/>
          <w:sz w:val="28"/>
          <w:szCs w:val="28"/>
          <w:lang w:val="en-US"/>
        </w:rPr>
        <w:t>Reno, Nevada, US, 27</w:t>
      </w:r>
      <w:r w:rsidRPr="00385C20">
        <w:rPr>
          <w:rFonts w:ascii="Arial" w:hAnsi="Arial" w:cs="Arial"/>
          <w:b/>
          <w:sz w:val="28"/>
          <w:szCs w:val="28"/>
          <w:vertAlign w:val="superscript"/>
          <w:lang w:val="en-US"/>
        </w:rPr>
        <w:t>th</w:t>
      </w:r>
      <w:r w:rsidRPr="00385C20">
        <w:rPr>
          <w:rFonts w:ascii="Arial" w:hAnsi="Arial" w:cs="Arial"/>
          <w:b/>
          <w:sz w:val="28"/>
          <w:szCs w:val="28"/>
          <w:lang w:val="en-US"/>
        </w:rPr>
        <w:t xml:space="preserve"> – 1</w:t>
      </w:r>
      <w:r w:rsidRPr="00385C20">
        <w:rPr>
          <w:rFonts w:ascii="Arial" w:hAnsi="Arial" w:cs="Arial"/>
          <w:b/>
          <w:sz w:val="28"/>
          <w:szCs w:val="28"/>
          <w:vertAlign w:val="superscript"/>
          <w:lang w:val="en-US"/>
        </w:rPr>
        <w:t>st</w:t>
      </w:r>
      <w:r w:rsidRPr="00385C20">
        <w:rPr>
          <w:rFonts w:ascii="Arial" w:hAnsi="Arial" w:cs="Arial"/>
          <w:b/>
          <w:sz w:val="28"/>
          <w:szCs w:val="28"/>
          <w:lang w:val="en-US"/>
        </w:rPr>
        <w:t xml:space="preserve"> December 2017            (</w:t>
      </w:r>
      <w:r w:rsidRPr="007D3825">
        <w:rPr>
          <w:rFonts w:ascii="Arial" w:hAnsi="Arial" w:cs="Arial"/>
          <w:b/>
          <w:sz w:val="28"/>
          <w:szCs w:val="28"/>
          <w:lang w:val="en-GB"/>
        </w:rPr>
        <w:t>R1-</w:t>
      </w:r>
      <w:r w:rsidRPr="00D266A9">
        <w:rPr>
          <w:rFonts w:ascii="Arial" w:hAnsi="Arial" w:cs="Arial"/>
          <w:b/>
          <w:sz w:val="28"/>
          <w:szCs w:val="28"/>
          <w:lang w:val="en-GB"/>
        </w:rPr>
        <w:t>1717761</w:t>
      </w:r>
      <w:r w:rsidRPr="007D3825">
        <w:rPr>
          <w:rFonts w:ascii="Arial" w:hAnsi="Arial" w:cs="Arial"/>
          <w:b/>
          <w:sz w:val="28"/>
          <w:szCs w:val="28"/>
          <w:lang w:val="en-GB"/>
        </w:rPr>
        <w:t>)</w:t>
      </w:r>
      <w:r w:rsidRPr="00D266A9">
        <w:rPr>
          <w:rFonts w:ascii="Arial" w:hAnsi="Arial" w:cs="Arial"/>
          <w:b/>
          <w:sz w:val="28"/>
          <w:szCs w:val="28"/>
          <w:lang w:val="en-US"/>
        </w:rPr>
        <w:t xml:space="preserve">            </w:t>
      </w:r>
    </w:p>
    <w:p w14:paraId="551F7376" w14:textId="77777777" w:rsidR="009A6F0E" w:rsidRPr="007D3825" w:rsidRDefault="009A6F0E" w:rsidP="00C07E87">
      <w:pPr>
        <w:pStyle w:val="3GPPHeader"/>
        <w:rPr>
          <w:rFonts w:ascii="Arial" w:hAnsi="Arial" w:cs="Arial"/>
          <w:sz w:val="28"/>
          <w:szCs w:val="28"/>
          <w:lang w:val="en-GB"/>
        </w:rPr>
      </w:pPr>
    </w:p>
    <w:p w14:paraId="293CC8DE" w14:textId="6BD46DD4" w:rsidR="00C07E87" w:rsidRPr="00D94B67" w:rsidRDefault="00C07E87" w:rsidP="00C07E87">
      <w:pPr>
        <w:pStyle w:val="3GPPHeader"/>
        <w:rPr>
          <w:sz w:val="22"/>
          <w:lang w:val="en-US"/>
        </w:rPr>
      </w:pPr>
      <w:r w:rsidRPr="00D94B67">
        <w:rPr>
          <w:sz w:val="22"/>
          <w:lang w:val="en-US"/>
        </w:rPr>
        <w:t>Agenda Item:</w:t>
      </w:r>
      <w:r w:rsidRPr="00D94B67">
        <w:rPr>
          <w:sz w:val="22"/>
          <w:lang w:val="en-US"/>
        </w:rPr>
        <w:tab/>
      </w:r>
      <w:r w:rsidR="00683118" w:rsidRPr="00D94B67">
        <w:rPr>
          <w:sz w:val="22"/>
          <w:lang w:val="en-US"/>
        </w:rPr>
        <w:t>7</w:t>
      </w:r>
      <w:r w:rsidR="00646313" w:rsidRPr="00D94B67">
        <w:rPr>
          <w:sz w:val="22"/>
          <w:lang w:val="en-US"/>
        </w:rPr>
        <w:t>.1.</w:t>
      </w:r>
      <w:r w:rsidR="00DC3F27" w:rsidRPr="00D94B67">
        <w:rPr>
          <w:sz w:val="22"/>
          <w:lang w:val="en-US"/>
        </w:rPr>
        <w:t>6</w:t>
      </w:r>
    </w:p>
    <w:p w14:paraId="3077A12A" w14:textId="77777777" w:rsidR="00E90E49" w:rsidRPr="00D94B67" w:rsidRDefault="003D3C45" w:rsidP="00F64C2B">
      <w:pPr>
        <w:pStyle w:val="3GPPHeader"/>
        <w:rPr>
          <w:sz w:val="22"/>
          <w:lang w:val="en-US"/>
        </w:rPr>
      </w:pPr>
      <w:r w:rsidRPr="00D94B67">
        <w:rPr>
          <w:sz w:val="22"/>
          <w:lang w:val="en-US"/>
        </w:rPr>
        <w:t>Source:</w:t>
      </w:r>
      <w:r w:rsidR="00E90E49" w:rsidRPr="00D94B67">
        <w:rPr>
          <w:sz w:val="22"/>
          <w:lang w:val="en-US"/>
        </w:rPr>
        <w:tab/>
      </w:r>
      <w:r w:rsidR="00F64C2B" w:rsidRPr="00D94B67">
        <w:rPr>
          <w:sz w:val="22"/>
          <w:lang w:val="en-US"/>
        </w:rPr>
        <w:t>Ericsson</w:t>
      </w:r>
    </w:p>
    <w:p w14:paraId="786E84DF" w14:textId="50B05421" w:rsidR="00E90E49" w:rsidRPr="00D94B67" w:rsidRDefault="003D3C45" w:rsidP="00311702">
      <w:pPr>
        <w:pStyle w:val="3GPPHeader"/>
        <w:rPr>
          <w:sz w:val="22"/>
          <w:lang w:val="en-US"/>
        </w:rPr>
      </w:pPr>
      <w:r w:rsidRPr="00D94B67">
        <w:rPr>
          <w:sz w:val="22"/>
          <w:lang w:val="en-US"/>
        </w:rPr>
        <w:t>Title:</w:t>
      </w:r>
      <w:r w:rsidR="00E90E49" w:rsidRPr="00D94B67">
        <w:rPr>
          <w:sz w:val="22"/>
          <w:lang w:val="en-US"/>
        </w:rPr>
        <w:tab/>
      </w:r>
      <w:bookmarkStart w:id="1" w:name="_Hlk485297352"/>
      <w:r w:rsidR="00D94B67">
        <w:rPr>
          <w:sz w:val="22"/>
          <w:lang w:val="en-US"/>
        </w:rPr>
        <w:t>S</w:t>
      </w:r>
      <w:r w:rsidR="00DC3F27" w:rsidRPr="00D94B67">
        <w:rPr>
          <w:sz w:val="22"/>
          <w:lang w:val="en-US"/>
        </w:rPr>
        <w:t xml:space="preserve">ynchronization </w:t>
      </w:r>
      <w:r w:rsidR="00D94B67">
        <w:rPr>
          <w:sz w:val="22"/>
          <w:lang w:val="en-US"/>
        </w:rPr>
        <w:t>using non-cell-defining signals</w:t>
      </w:r>
      <w:bookmarkEnd w:id="1"/>
      <w:r w:rsidR="00F20EBF" w:rsidRPr="00D94B67">
        <w:rPr>
          <w:sz w:val="22"/>
          <w:lang w:val="en-US"/>
        </w:rPr>
        <w:t xml:space="preserve">   </w:t>
      </w:r>
    </w:p>
    <w:p w14:paraId="00BFF626" w14:textId="17986230" w:rsidR="00E90E49" w:rsidRPr="00E35933" w:rsidRDefault="00E90E49" w:rsidP="00C704D9">
      <w:pPr>
        <w:pStyle w:val="3GPPHeader"/>
        <w:rPr>
          <w:sz w:val="22"/>
        </w:rPr>
      </w:pPr>
      <w:r w:rsidRPr="00E35933">
        <w:rPr>
          <w:sz w:val="22"/>
        </w:rPr>
        <w:t>Document for:</w:t>
      </w:r>
      <w:r w:rsidRPr="00E35933">
        <w:rPr>
          <w:sz w:val="22"/>
        </w:rPr>
        <w:tab/>
        <w:t>Discussion</w:t>
      </w:r>
    </w:p>
    <w:p w14:paraId="5F52BF02" w14:textId="77777777" w:rsidR="00E30225" w:rsidRPr="00713C24" w:rsidRDefault="00E30225" w:rsidP="00E30225">
      <w:pPr>
        <w:pStyle w:val="Heading1"/>
        <w:rPr>
          <w:lang w:val="en-US"/>
        </w:rPr>
      </w:pPr>
      <w:r w:rsidRPr="00713C24">
        <w:rPr>
          <w:lang w:val="en-US"/>
        </w:rPr>
        <w:t>Introduction</w:t>
      </w:r>
    </w:p>
    <w:p w14:paraId="019ED2D5" w14:textId="7A60BAF2" w:rsidR="00DC3F27" w:rsidRPr="00D94B67" w:rsidRDefault="00173794">
      <w:pPr>
        <w:spacing w:after="0"/>
        <w:rPr>
          <w:lang w:val="en-US"/>
        </w:rPr>
      </w:pPr>
      <w:bookmarkStart w:id="2" w:name="_Ref178064866"/>
      <w:r w:rsidRPr="00D94B67">
        <w:rPr>
          <w:lang w:val="en-US"/>
        </w:rPr>
        <w:t xml:space="preserve">It has been agreed </w:t>
      </w:r>
      <w:r w:rsidR="00B82B84" w:rsidRPr="00D94B67">
        <w:rPr>
          <w:lang w:val="en-US"/>
        </w:rPr>
        <w:t>[</w:t>
      </w:r>
      <w:r w:rsidR="00224959" w:rsidRPr="00D94B67">
        <w:rPr>
          <w:lang w:val="en-US"/>
        </w:rPr>
        <w:t>4</w:t>
      </w:r>
      <w:r w:rsidR="00B82B84" w:rsidRPr="00D94B67">
        <w:rPr>
          <w:lang w:val="en-US"/>
        </w:rPr>
        <w:t xml:space="preserve">] </w:t>
      </w:r>
      <w:r w:rsidRPr="00D94B67">
        <w:rPr>
          <w:lang w:val="en-US"/>
        </w:rPr>
        <w:t xml:space="preserve">that </w:t>
      </w:r>
      <w:r w:rsidR="00423D97" w:rsidRPr="00D94B67">
        <w:rPr>
          <w:lang w:val="en-US"/>
        </w:rPr>
        <w:t xml:space="preserve">SSB (PSS and SSS) shall be used for </w:t>
      </w:r>
      <w:r w:rsidRPr="00D94B67">
        <w:rPr>
          <w:lang w:val="en-US"/>
        </w:rPr>
        <w:t>T/F s</w:t>
      </w:r>
      <w:r w:rsidR="00DC3F27" w:rsidRPr="00D94B67">
        <w:rPr>
          <w:lang w:val="en-US"/>
        </w:rPr>
        <w:t xml:space="preserve">ynchronization </w:t>
      </w:r>
      <w:r w:rsidRPr="00D94B67">
        <w:rPr>
          <w:lang w:val="en-US"/>
        </w:rPr>
        <w:t xml:space="preserve">for </w:t>
      </w:r>
      <w:r w:rsidR="00C32380" w:rsidRPr="00D94B67">
        <w:rPr>
          <w:lang w:val="en-US"/>
        </w:rPr>
        <w:t xml:space="preserve">the purposes of </w:t>
      </w:r>
      <w:r w:rsidR="00423D97" w:rsidRPr="00D94B67">
        <w:rPr>
          <w:lang w:val="en-US"/>
        </w:rPr>
        <w:t>receiving signal</w:t>
      </w:r>
      <w:r w:rsidR="00C32380" w:rsidRPr="00D94B67">
        <w:rPr>
          <w:lang w:val="en-US"/>
        </w:rPr>
        <w:t>s</w:t>
      </w:r>
      <w:r w:rsidR="00423D97" w:rsidRPr="00D94B67">
        <w:rPr>
          <w:lang w:val="en-US"/>
        </w:rPr>
        <w:t xml:space="preserve"> transmitted from an NR cell. </w:t>
      </w:r>
      <w:r w:rsidR="008C392C">
        <w:rPr>
          <w:lang w:val="en-US"/>
        </w:rPr>
        <w:t xml:space="preserve">Furthermore, it has been agreed that SSB will be QCL with system access signals like RAR, RMSI, and paging. </w:t>
      </w:r>
      <w:r w:rsidR="00423D97" w:rsidRPr="00D94B67">
        <w:rPr>
          <w:lang w:val="en-US"/>
        </w:rPr>
        <w:t>However, i</w:t>
      </w:r>
      <w:r w:rsidR="00DC3F27" w:rsidRPr="00D94B67">
        <w:rPr>
          <w:lang w:val="en-US"/>
        </w:rPr>
        <w:t xml:space="preserve">n some </w:t>
      </w:r>
      <w:r w:rsidR="008C392C">
        <w:rPr>
          <w:lang w:val="en-US"/>
        </w:rPr>
        <w:t xml:space="preserve">special </w:t>
      </w:r>
      <w:r w:rsidR="00423D97" w:rsidRPr="00D94B67">
        <w:rPr>
          <w:lang w:val="en-US"/>
        </w:rPr>
        <w:t xml:space="preserve">deployments and </w:t>
      </w:r>
      <w:r w:rsidR="00DC3F27" w:rsidRPr="00D94B67">
        <w:rPr>
          <w:lang w:val="en-US"/>
        </w:rPr>
        <w:t xml:space="preserve">scenarios, </w:t>
      </w:r>
      <w:r w:rsidR="00423D97" w:rsidRPr="00D94B67">
        <w:rPr>
          <w:lang w:val="en-US"/>
        </w:rPr>
        <w:t xml:space="preserve">the </w:t>
      </w:r>
      <w:r w:rsidR="00A9018C" w:rsidRPr="00D94B67">
        <w:rPr>
          <w:lang w:val="en-US"/>
        </w:rPr>
        <w:t xml:space="preserve">default </w:t>
      </w:r>
      <w:r w:rsidR="00DC3F27" w:rsidRPr="00D94B67">
        <w:rPr>
          <w:lang w:val="en-US"/>
        </w:rPr>
        <w:t>SSB may not be usable or available</w:t>
      </w:r>
      <w:r w:rsidR="00423D97" w:rsidRPr="00D94B67">
        <w:rPr>
          <w:lang w:val="en-US"/>
        </w:rPr>
        <w:t xml:space="preserve"> as </w:t>
      </w:r>
      <w:r w:rsidR="00AF282B" w:rsidRPr="00D94B67">
        <w:rPr>
          <w:lang w:val="en-US"/>
        </w:rPr>
        <w:t xml:space="preserve">a </w:t>
      </w:r>
      <w:r w:rsidR="00423D97" w:rsidRPr="00D94B67">
        <w:rPr>
          <w:lang w:val="en-US"/>
        </w:rPr>
        <w:t xml:space="preserve">sync </w:t>
      </w:r>
      <w:r w:rsidR="009B786D" w:rsidRPr="00D94B67">
        <w:rPr>
          <w:lang w:val="en-US"/>
        </w:rPr>
        <w:t>source</w:t>
      </w:r>
      <w:r w:rsidR="00423D97" w:rsidRPr="00D94B67">
        <w:rPr>
          <w:lang w:val="en-US"/>
        </w:rPr>
        <w:t xml:space="preserve"> for receiving additional signals. </w:t>
      </w:r>
      <w:r w:rsidR="00DC3F27" w:rsidRPr="00D94B67">
        <w:rPr>
          <w:lang w:val="en-US"/>
        </w:rPr>
        <w:t xml:space="preserve">This contribution </w:t>
      </w:r>
      <w:r w:rsidR="00A9018C" w:rsidRPr="00D94B67">
        <w:rPr>
          <w:lang w:val="en-US"/>
        </w:rPr>
        <w:t xml:space="preserve">first </w:t>
      </w:r>
      <w:r w:rsidR="009B786D" w:rsidRPr="00D94B67">
        <w:rPr>
          <w:lang w:val="en-US"/>
        </w:rPr>
        <w:t>demonstrates</w:t>
      </w:r>
      <w:r w:rsidR="00DC3F27" w:rsidRPr="00D94B67">
        <w:rPr>
          <w:lang w:val="en-US"/>
        </w:rPr>
        <w:t xml:space="preserve"> </w:t>
      </w:r>
      <w:r w:rsidR="009B786D" w:rsidRPr="00D94B67">
        <w:rPr>
          <w:lang w:val="en-US"/>
        </w:rPr>
        <w:t xml:space="preserve">the existence of </w:t>
      </w:r>
      <w:r w:rsidR="00C32380" w:rsidRPr="00D94B67">
        <w:rPr>
          <w:lang w:val="en-US"/>
        </w:rPr>
        <w:t xml:space="preserve">such scenarios and </w:t>
      </w:r>
      <w:r w:rsidR="00DC3F27" w:rsidRPr="00D94B67">
        <w:rPr>
          <w:lang w:val="en-US"/>
        </w:rPr>
        <w:t xml:space="preserve">use cases where </w:t>
      </w:r>
      <w:r w:rsidR="00423D97" w:rsidRPr="00D94B67">
        <w:rPr>
          <w:lang w:val="en-US"/>
        </w:rPr>
        <w:t>alternative</w:t>
      </w:r>
      <w:r w:rsidR="00DC3F27" w:rsidRPr="00D94B67">
        <w:rPr>
          <w:lang w:val="en-US"/>
        </w:rPr>
        <w:t xml:space="preserve"> sync support </w:t>
      </w:r>
      <w:r w:rsidR="009B786D" w:rsidRPr="00D94B67">
        <w:rPr>
          <w:lang w:val="en-US"/>
        </w:rPr>
        <w:t>should be considered</w:t>
      </w:r>
      <w:r w:rsidR="00A9018C" w:rsidRPr="00D94B67">
        <w:rPr>
          <w:lang w:val="en-US"/>
        </w:rPr>
        <w:t xml:space="preserve">. It then </w:t>
      </w:r>
      <w:r w:rsidR="00DC3F27" w:rsidRPr="00D94B67">
        <w:rPr>
          <w:lang w:val="en-US"/>
        </w:rPr>
        <w:t xml:space="preserve">presents a framework for </w:t>
      </w:r>
      <w:r w:rsidR="00C32380" w:rsidRPr="00D94B67">
        <w:rPr>
          <w:lang w:val="en-US"/>
        </w:rPr>
        <w:t>additional</w:t>
      </w:r>
      <w:r w:rsidR="00B173F8" w:rsidRPr="00D94B67">
        <w:rPr>
          <w:lang w:val="en-US"/>
        </w:rPr>
        <w:t>, possibly</w:t>
      </w:r>
      <w:r w:rsidR="00C32380" w:rsidRPr="00D94B67">
        <w:rPr>
          <w:lang w:val="en-US"/>
        </w:rPr>
        <w:t xml:space="preserve"> dynamic</w:t>
      </w:r>
      <w:r w:rsidR="00B173F8" w:rsidRPr="00D94B67">
        <w:rPr>
          <w:lang w:val="en-US"/>
        </w:rPr>
        <w:t>,</w:t>
      </w:r>
      <w:r w:rsidR="00DC3F27" w:rsidRPr="00D94B67">
        <w:rPr>
          <w:lang w:val="en-US"/>
        </w:rPr>
        <w:t xml:space="preserve"> sync provision</w:t>
      </w:r>
      <w:r w:rsidR="00A64496" w:rsidRPr="00D94B67">
        <w:rPr>
          <w:lang w:val="en-US"/>
        </w:rPr>
        <w:t xml:space="preserve"> proposed </w:t>
      </w:r>
      <w:r w:rsidR="00A9018C" w:rsidRPr="00D94B67">
        <w:rPr>
          <w:lang w:val="en-US"/>
        </w:rPr>
        <w:t>via special SSB configurations</w:t>
      </w:r>
      <w:r w:rsidR="008C392C">
        <w:rPr>
          <w:lang w:val="en-US"/>
        </w:rPr>
        <w:t xml:space="preserve"> or other signals</w:t>
      </w:r>
      <w:r w:rsidR="00DC3F27" w:rsidRPr="00D94B67">
        <w:rPr>
          <w:lang w:val="en-US"/>
        </w:rPr>
        <w:t>.</w:t>
      </w:r>
    </w:p>
    <w:p w14:paraId="04C1B33E" w14:textId="16061377" w:rsidR="00957CC8" w:rsidRPr="00D94B67" w:rsidRDefault="00957CC8">
      <w:pPr>
        <w:spacing w:after="0"/>
        <w:rPr>
          <w:lang w:val="en-US"/>
        </w:rPr>
      </w:pPr>
    </w:p>
    <w:p w14:paraId="022569B7" w14:textId="5968053F" w:rsidR="00957CC8" w:rsidRPr="00D94B67" w:rsidRDefault="00957CC8">
      <w:pPr>
        <w:spacing w:after="0"/>
        <w:rPr>
          <w:lang w:val="en-US"/>
        </w:rPr>
      </w:pPr>
      <w:r w:rsidRPr="00D94B67">
        <w:rPr>
          <w:lang w:val="en-US"/>
        </w:rPr>
        <w:t xml:space="preserve">This contribution has been </w:t>
      </w:r>
      <w:r w:rsidR="00A9018C" w:rsidRPr="00D94B67">
        <w:rPr>
          <w:lang w:val="en-US"/>
        </w:rPr>
        <w:t xml:space="preserve">significantly </w:t>
      </w:r>
      <w:r w:rsidRPr="00D94B67">
        <w:rPr>
          <w:lang w:val="en-US"/>
        </w:rPr>
        <w:t>revised from R1-</w:t>
      </w:r>
      <w:r w:rsidR="008C392C" w:rsidRPr="008C392C">
        <w:rPr>
          <w:lang w:val="en-US"/>
        </w:rPr>
        <w:t>1717761</w:t>
      </w:r>
      <w:r w:rsidRPr="00D94B67">
        <w:rPr>
          <w:lang w:val="en-US"/>
        </w:rPr>
        <w:t xml:space="preserve">. </w:t>
      </w:r>
    </w:p>
    <w:p w14:paraId="412AA818" w14:textId="0A551A01" w:rsidR="00E30225" w:rsidRDefault="00E30225" w:rsidP="00E30225">
      <w:pPr>
        <w:pStyle w:val="Heading1"/>
        <w:rPr>
          <w:lang w:val="en-US"/>
        </w:rPr>
      </w:pPr>
      <w:r w:rsidRPr="00713C24">
        <w:rPr>
          <w:lang w:val="en-US"/>
        </w:rPr>
        <w:t>Discussion</w:t>
      </w:r>
      <w:bookmarkEnd w:id="2"/>
    </w:p>
    <w:p w14:paraId="6F5AE03B" w14:textId="1ACA57BE" w:rsidR="00DC3F27" w:rsidRPr="00713C24" w:rsidRDefault="00DC3F27" w:rsidP="00045529">
      <w:pPr>
        <w:pStyle w:val="Heading2"/>
        <w:rPr>
          <w:lang w:val="en-US"/>
        </w:rPr>
      </w:pPr>
      <w:bookmarkStart w:id="3" w:name="_Ref480811488"/>
      <w:r w:rsidRPr="00713C24">
        <w:rPr>
          <w:lang w:val="en-US"/>
        </w:rPr>
        <w:t>A variety of deployments</w:t>
      </w:r>
    </w:p>
    <w:p w14:paraId="7643A301" w14:textId="512D5BBA" w:rsidR="003D5958" w:rsidRPr="00D94B67" w:rsidRDefault="003D5958" w:rsidP="003D5958">
      <w:pPr>
        <w:rPr>
          <w:lang w:val="en-US"/>
        </w:rPr>
      </w:pPr>
      <w:r w:rsidRPr="00D94B67">
        <w:rPr>
          <w:lang w:val="en-US"/>
        </w:rPr>
        <w:t xml:space="preserve">In order to </w:t>
      </w:r>
      <w:r w:rsidR="007955C7" w:rsidRPr="00D94B67">
        <w:rPr>
          <w:lang w:val="en-US"/>
        </w:rPr>
        <w:t xml:space="preserve">handle the expected </w:t>
      </w:r>
      <w:r w:rsidR="009B786D" w:rsidRPr="00D94B67">
        <w:rPr>
          <w:lang w:val="en-US"/>
        </w:rPr>
        <w:t>broad</w:t>
      </w:r>
      <w:r w:rsidR="007955C7" w:rsidRPr="00D94B67">
        <w:rPr>
          <w:lang w:val="en-US"/>
        </w:rPr>
        <w:t xml:space="preserve"> </w:t>
      </w:r>
      <w:r w:rsidR="009B786D" w:rsidRPr="00D94B67">
        <w:rPr>
          <w:lang w:val="en-US"/>
        </w:rPr>
        <w:t>range</w:t>
      </w:r>
      <w:r w:rsidR="007955C7" w:rsidRPr="00D94B67">
        <w:rPr>
          <w:lang w:val="en-US"/>
        </w:rPr>
        <w:t xml:space="preserve"> of NR network requirements, the prospective NR deployments may differ significantly. </w:t>
      </w:r>
      <w:r w:rsidR="00E751CE" w:rsidRPr="00D94B67">
        <w:rPr>
          <w:lang w:val="en-US"/>
        </w:rPr>
        <w:t>Some aspects that will differ are t</w:t>
      </w:r>
      <w:r w:rsidR="007955C7" w:rsidRPr="00D94B67">
        <w:rPr>
          <w:lang w:val="en-US"/>
        </w:rPr>
        <w:t xml:space="preserve">he ISD </w:t>
      </w:r>
      <w:r w:rsidR="009B786D" w:rsidRPr="00D94B67">
        <w:rPr>
          <w:lang w:val="en-US"/>
        </w:rPr>
        <w:t xml:space="preserve">of the TRPs </w:t>
      </w:r>
      <w:r w:rsidR="007955C7" w:rsidRPr="00D94B67">
        <w:rPr>
          <w:lang w:val="en-US"/>
        </w:rPr>
        <w:t xml:space="preserve">and the degree of synchronization between the gNBs and </w:t>
      </w:r>
      <w:r w:rsidR="00A9018C" w:rsidRPr="00D94B67">
        <w:rPr>
          <w:lang w:val="en-US"/>
        </w:rPr>
        <w:t xml:space="preserve">their </w:t>
      </w:r>
      <w:r w:rsidR="007955C7" w:rsidRPr="00D94B67">
        <w:rPr>
          <w:lang w:val="en-US"/>
        </w:rPr>
        <w:t>TRPs, standalone and non-standalone</w:t>
      </w:r>
      <w:r w:rsidR="00E751CE" w:rsidRPr="00D94B67">
        <w:rPr>
          <w:lang w:val="en-US"/>
        </w:rPr>
        <w:t xml:space="preserve"> operation</w:t>
      </w:r>
      <w:r w:rsidR="007955C7" w:rsidRPr="00D94B67">
        <w:rPr>
          <w:lang w:val="en-US"/>
        </w:rPr>
        <w:t>,</w:t>
      </w:r>
      <w:r w:rsidR="00E751CE" w:rsidRPr="00D94B67">
        <w:rPr>
          <w:lang w:val="en-US"/>
        </w:rPr>
        <w:t xml:space="preserve"> different SSB </w:t>
      </w:r>
      <w:r w:rsidR="009B786D" w:rsidRPr="00D94B67">
        <w:rPr>
          <w:lang w:val="en-US"/>
        </w:rPr>
        <w:t xml:space="preserve">transmission </w:t>
      </w:r>
      <w:r w:rsidR="00E751CE" w:rsidRPr="00D94B67">
        <w:rPr>
          <w:lang w:val="en-US"/>
        </w:rPr>
        <w:t>periods</w:t>
      </w:r>
      <w:r w:rsidR="007955C7" w:rsidRPr="00D94B67">
        <w:rPr>
          <w:lang w:val="en-US"/>
        </w:rPr>
        <w:t xml:space="preserve">, possible SFN distribution of SSB and system information, etc.  </w:t>
      </w:r>
    </w:p>
    <w:p w14:paraId="62EEEB62" w14:textId="6B0D1B84" w:rsidR="00E751CE" w:rsidRPr="00D94B67" w:rsidRDefault="009B786D" w:rsidP="003D5958">
      <w:pPr>
        <w:rPr>
          <w:lang w:val="en-US"/>
        </w:rPr>
      </w:pPr>
      <w:r w:rsidRPr="00D94B67">
        <w:rPr>
          <w:lang w:val="en-US"/>
        </w:rPr>
        <w:t>In such varying</w:t>
      </w:r>
      <w:r w:rsidR="00E751CE" w:rsidRPr="00D94B67">
        <w:rPr>
          <w:lang w:val="en-US"/>
        </w:rPr>
        <w:t xml:space="preserve"> deployments, different signals will be transmitted with different spatial and temporal characteristics. In some cases, </w:t>
      </w:r>
      <w:r w:rsidRPr="00D94B67">
        <w:rPr>
          <w:lang w:val="en-US"/>
        </w:rPr>
        <w:t>a</w:t>
      </w:r>
      <w:r w:rsidR="00E751CE" w:rsidRPr="00D94B67">
        <w:rPr>
          <w:lang w:val="en-US"/>
        </w:rPr>
        <w:t xml:space="preserve"> mismatch may </w:t>
      </w:r>
      <w:r w:rsidRPr="00D94B67">
        <w:rPr>
          <w:lang w:val="en-US"/>
        </w:rPr>
        <w:t xml:space="preserve">occur that </w:t>
      </w:r>
      <w:r w:rsidR="00BD0CF0">
        <w:rPr>
          <w:lang w:val="en-US"/>
        </w:rPr>
        <w:t>does not satisfy the</w:t>
      </w:r>
      <w:r w:rsidR="00E751CE" w:rsidRPr="00D94B67">
        <w:rPr>
          <w:lang w:val="en-US"/>
        </w:rPr>
        <w:t xml:space="preserve"> </w:t>
      </w:r>
      <w:r w:rsidR="00A9018C" w:rsidRPr="00D94B67">
        <w:rPr>
          <w:lang w:val="en-US"/>
        </w:rPr>
        <w:t>preferred</w:t>
      </w:r>
      <w:r w:rsidR="00E751CE" w:rsidRPr="00D94B67">
        <w:rPr>
          <w:lang w:val="en-US"/>
        </w:rPr>
        <w:t xml:space="preserve"> QCL assumptions </w:t>
      </w:r>
      <w:r w:rsidR="00A9018C" w:rsidRPr="00D94B67">
        <w:rPr>
          <w:lang w:val="en-US"/>
        </w:rPr>
        <w:t>in</w:t>
      </w:r>
      <w:r w:rsidR="00E751CE" w:rsidRPr="00D94B67">
        <w:rPr>
          <w:lang w:val="en-US"/>
        </w:rPr>
        <w:t xml:space="preserve"> baseline deployments</w:t>
      </w:r>
      <w:r w:rsidRPr="00D94B67">
        <w:rPr>
          <w:lang w:val="en-US"/>
        </w:rPr>
        <w:t>. This may</w:t>
      </w:r>
      <w:r w:rsidR="00E751CE" w:rsidRPr="00D94B67">
        <w:rPr>
          <w:lang w:val="en-US"/>
        </w:rPr>
        <w:t xml:space="preserve"> complicate the use of </w:t>
      </w:r>
      <w:r w:rsidR="00A9018C" w:rsidRPr="00D94B67">
        <w:rPr>
          <w:lang w:val="en-US"/>
        </w:rPr>
        <w:t xml:space="preserve">the default </w:t>
      </w:r>
      <w:r w:rsidR="00E751CE" w:rsidRPr="00D94B67">
        <w:rPr>
          <w:lang w:val="en-US"/>
        </w:rPr>
        <w:t xml:space="preserve">SSB </w:t>
      </w:r>
      <w:r w:rsidR="00A9018C" w:rsidRPr="00D94B67">
        <w:rPr>
          <w:lang w:val="en-US"/>
        </w:rPr>
        <w:t xml:space="preserve">signals </w:t>
      </w:r>
      <w:r w:rsidR="00E751CE" w:rsidRPr="00D94B67">
        <w:rPr>
          <w:lang w:val="en-US"/>
        </w:rPr>
        <w:t>as a T/F reference for reception of other signals.</w:t>
      </w:r>
      <w:r w:rsidR="00117328" w:rsidRPr="00D94B67">
        <w:rPr>
          <w:lang w:val="en-US"/>
        </w:rPr>
        <w:t xml:space="preserve"> Not all attractive and feasible deployment combinations can be foreseen at this time.</w:t>
      </w:r>
      <w:r w:rsidR="00E751CE" w:rsidRPr="00D94B67">
        <w:rPr>
          <w:lang w:val="en-US"/>
        </w:rPr>
        <w:t xml:space="preserve">  </w:t>
      </w:r>
    </w:p>
    <w:p w14:paraId="1BD1637D" w14:textId="0C343C22" w:rsidR="003D5958" w:rsidRPr="00D94B67" w:rsidRDefault="003D5958" w:rsidP="00EE024F">
      <w:pPr>
        <w:pStyle w:val="Observation"/>
        <w:rPr>
          <w:lang w:val="en-US"/>
        </w:rPr>
      </w:pPr>
      <w:bookmarkStart w:id="4" w:name="_Toc485117318"/>
      <w:bookmarkStart w:id="5" w:name="_Toc485122755"/>
      <w:bookmarkStart w:id="6" w:name="_Toc485148411"/>
      <w:bookmarkStart w:id="7" w:name="_Toc485294686"/>
      <w:bookmarkStart w:id="8" w:name="_Toc485407855"/>
      <w:bookmarkStart w:id="9" w:name="_Toc492598278"/>
      <w:bookmarkStart w:id="10" w:name="_Toc492598315"/>
      <w:bookmarkStart w:id="11" w:name="_Toc492629150"/>
      <w:bookmarkStart w:id="12" w:name="_Toc492631145"/>
      <w:bookmarkStart w:id="13" w:name="_Toc492915161"/>
      <w:bookmarkStart w:id="14" w:name="_Toc494198301"/>
      <w:bookmarkStart w:id="15" w:name="_Toc494199969"/>
      <w:bookmarkStart w:id="16" w:name="_Toc494199981"/>
      <w:bookmarkStart w:id="17" w:name="_Toc494200022"/>
      <w:bookmarkStart w:id="18" w:name="_Toc494200030"/>
      <w:bookmarkStart w:id="19" w:name="_Toc494200090"/>
      <w:bookmarkStart w:id="20" w:name="_Toc494716909"/>
      <w:bookmarkStart w:id="21" w:name="_Toc494746957"/>
      <w:bookmarkStart w:id="22" w:name="_Toc498673311"/>
      <w:bookmarkStart w:id="23" w:name="_Toc498721265"/>
      <w:r w:rsidRPr="00D94B67">
        <w:rPr>
          <w:lang w:val="en-US"/>
        </w:rPr>
        <w:t xml:space="preserve">There will exist </w:t>
      </w:r>
      <w:r w:rsidR="00C716EC" w:rsidRPr="00D94B67">
        <w:rPr>
          <w:lang w:val="en-US"/>
        </w:rPr>
        <w:t xml:space="preserve">a </w:t>
      </w:r>
      <w:r w:rsidRPr="00D94B67">
        <w:rPr>
          <w:lang w:val="en-US"/>
        </w:rPr>
        <w:t>variety of network deployments</w:t>
      </w:r>
      <w:r w:rsidR="005F5CA4" w:rsidRPr="00D94B67">
        <w:rPr>
          <w:lang w:val="en-US"/>
        </w:rPr>
        <w:t xml:space="preserve"> </w:t>
      </w:r>
      <w:r w:rsidRPr="00D94B67">
        <w:rPr>
          <w:lang w:val="en-US"/>
        </w:rPr>
        <w:t xml:space="preserve">where </w:t>
      </w:r>
      <w:r w:rsidR="00A9018C" w:rsidRPr="00D94B67">
        <w:rPr>
          <w:lang w:val="en-US"/>
        </w:rPr>
        <w:t xml:space="preserve">default </w:t>
      </w:r>
      <w:r w:rsidRPr="00D94B67">
        <w:rPr>
          <w:lang w:val="en-US"/>
        </w:rPr>
        <w:t xml:space="preserve">SSB reception does not spatially or temporally match the reception of other </w:t>
      </w:r>
      <w:r w:rsidR="00117328" w:rsidRPr="00D94B67">
        <w:rPr>
          <w:lang w:val="en-US"/>
        </w:rPr>
        <w:t xml:space="preserve">transmitted </w:t>
      </w:r>
      <w:r w:rsidRPr="00D94B67">
        <w:rPr>
          <w:lang w:val="en-US"/>
        </w:rPr>
        <w:t>signals.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D94B67">
        <w:rPr>
          <w:lang w:val="en-US"/>
        </w:rPr>
        <w:t xml:space="preserve"> </w:t>
      </w:r>
    </w:p>
    <w:p w14:paraId="5F94DC67" w14:textId="3C5235CA" w:rsidR="003D5958" w:rsidRPr="00D94B67" w:rsidRDefault="003D5958" w:rsidP="003D5958">
      <w:pPr>
        <w:rPr>
          <w:lang w:val="en-US"/>
        </w:rPr>
      </w:pPr>
      <w:r w:rsidRPr="00D94B67">
        <w:rPr>
          <w:lang w:val="en-US"/>
        </w:rPr>
        <w:t>B</w:t>
      </w:r>
      <w:r w:rsidR="00E751CE" w:rsidRPr="00D94B67">
        <w:rPr>
          <w:lang w:val="en-US"/>
        </w:rPr>
        <w:t xml:space="preserve">elow we will provide some examples of scenarios and use cases where the different transmission characteristics for different signals may deteriorate system performance or make </w:t>
      </w:r>
      <w:r w:rsidR="00117328" w:rsidRPr="00D94B67">
        <w:rPr>
          <w:lang w:val="en-US"/>
        </w:rPr>
        <w:t xml:space="preserve">intended </w:t>
      </w:r>
      <w:r w:rsidR="00E751CE" w:rsidRPr="00D94B67">
        <w:rPr>
          <w:lang w:val="en-US"/>
        </w:rPr>
        <w:t>operation impossible.</w:t>
      </w:r>
    </w:p>
    <w:p w14:paraId="0081707C" w14:textId="119A1BC2" w:rsidR="005B161E" w:rsidRPr="00713C24" w:rsidRDefault="00B23B09" w:rsidP="00045529">
      <w:pPr>
        <w:pStyle w:val="Heading2"/>
        <w:rPr>
          <w:lang w:val="en-US"/>
        </w:rPr>
      </w:pPr>
      <w:r>
        <w:rPr>
          <w:lang w:val="en-US"/>
        </w:rPr>
        <w:lastRenderedPageBreak/>
        <w:t>Some u</w:t>
      </w:r>
      <w:r w:rsidR="005B161E" w:rsidRPr="00713C24">
        <w:rPr>
          <w:lang w:val="en-US"/>
        </w:rPr>
        <w:t xml:space="preserve">se cases deviating </w:t>
      </w:r>
      <w:r>
        <w:rPr>
          <w:lang w:val="en-US"/>
        </w:rPr>
        <w:t xml:space="preserve">from </w:t>
      </w:r>
      <w:r w:rsidR="00C43E08" w:rsidRPr="00713C24">
        <w:rPr>
          <w:lang w:val="en-US"/>
        </w:rPr>
        <w:t xml:space="preserve">SSB </w:t>
      </w:r>
      <w:r>
        <w:rPr>
          <w:lang w:val="en-US"/>
        </w:rPr>
        <w:t xml:space="preserve">QCL </w:t>
      </w:r>
      <w:r w:rsidR="005B161E" w:rsidRPr="00713C24">
        <w:rPr>
          <w:lang w:val="en-US"/>
        </w:rPr>
        <w:t>assumptions</w:t>
      </w:r>
    </w:p>
    <w:p w14:paraId="1DBAEEF7" w14:textId="77777777" w:rsidR="00A46C79" w:rsidRPr="00713C24" w:rsidRDefault="00A46C79" w:rsidP="00A46C79">
      <w:pPr>
        <w:pStyle w:val="Heading3"/>
        <w:rPr>
          <w:lang w:val="en-US"/>
        </w:rPr>
      </w:pPr>
      <w:r w:rsidRPr="00713C24">
        <w:rPr>
          <w:lang w:val="en-US"/>
        </w:rPr>
        <w:t>CSI-RS RSRP measurements for beam management</w:t>
      </w:r>
    </w:p>
    <w:p w14:paraId="276E2D35" w14:textId="77777777" w:rsidR="00A46C79" w:rsidRPr="00D94B67" w:rsidRDefault="00A46C79" w:rsidP="00A46C79">
      <w:pPr>
        <w:rPr>
          <w:lang w:val="en-US"/>
        </w:rPr>
      </w:pPr>
      <w:r w:rsidRPr="00D94B67">
        <w:rPr>
          <w:lang w:val="en-US"/>
        </w:rPr>
        <w:t>In intra-TRP beam management, CSI-RS RSRP measurements are used to evaluate the quality of candidate beams and compare them to the current serving beam. The CSI-RS measurements are typically performed in the frequency domain after applying an FFT based on T/F reference values of the serving beam. However, in some deployments, narrow beams transmitted from a given TRP can take different paths to the UE. It is not uncommon that reflections from farther-away objects may incur a path distance difference of hundreds of meters compared to another, short-distance path, while still remaining viable signal-strength-wise. Due to the effective timing error for the candidate beam, even if it does not exceed the CP length of the CSI-RS symbol, the RSRP estimates will be overly pessimistic. Such occurrences have already been observed in practice in 5G test deployments. While moderate such offsets can in principle be compensated in the F-domain, in other cases the resulting offset may well exceed the CP length and make measurements impossible.</w:t>
      </w:r>
    </w:p>
    <w:p w14:paraId="48C91BED" w14:textId="77777777" w:rsidR="00A46C79" w:rsidRPr="00D94B67" w:rsidRDefault="00A46C79" w:rsidP="00A46C79">
      <w:pPr>
        <w:pStyle w:val="Observation"/>
        <w:rPr>
          <w:lang w:val="en-US"/>
        </w:rPr>
      </w:pPr>
      <w:bookmarkStart w:id="24" w:name="_Toc498673312"/>
      <w:bookmarkStart w:id="25" w:name="_Toc498721266"/>
      <w:r w:rsidRPr="00D94B67">
        <w:rPr>
          <w:lang w:val="en-US"/>
        </w:rPr>
        <w:t>In some deployments, beam management RSRP measurements using solely CSI-RS may not be reliable.</w:t>
      </w:r>
      <w:bookmarkEnd w:id="24"/>
      <w:bookmarkEnd w:id="25"/>
      <w:r w:rsidRPr="00D94B67">
        <w:rPr>
          <w:lang w:val="en-US"/>
        </w:rPr>
        <w:t xml:space="preserve"> </w:t>
      </w:r>
    </w:p>
    <w:p w14:paraId="66412C7C" w14:textId="77777777" w:rsidR="00A46C79" w:rsidRPr="00713C24" w:rsidRDefault="00A46C79" w:rsidP="00A46C79">
      <w:pPr>
        <w:pStyle w:val="Heading3"/>
        <w:rPr>
          <w:lang w:val="en-US"/>
        </w:rPr>
      </w:pPr>
      <w:r w:rsidRPr="00713C24">
        <w:rPr>
          <w:lang w:val="en-US"/>
        </w:rPr>
        <w:t>CSI-RS RSRP measurements for active mode mobility</w:t>
      </w:r>
    </w:p>
    <w:p w14:paraId="6D5485A2" w14:textId="77777777" w:rsidR="00A46C79" w:rsidRPr="00D94B67" w:rsidRDefault="00A46C79" w:rsidP="00A46C79">
      <w:pPr>
        <w:rPr>
          <w:lang w:val="en-US"/>
        </w:rPr>
      </w:pPr>
      <w:r w:rsidRPr="00D94B67">
        <w:rPr>
          <w:lang w:val="en-US"/>
        </w:rPr>
        <w:t xml:space="preserve">CSI-RS will also be used for active mode mobility measurements. RSRP from CSI-RS from serving and neighbor cells or TRPs can be reported by the UE. Performing an RSRP measurement on a neighbor-cell CSI-RS presumes the availability of T/F sync for the candidate cell. If the received candidate cell signals are not T/F aligned with the serving cell at the UE location, the candidate cell’s SSB should be used as a T/F reference source. However, there are scenarios where the neighbor-cell SSB may not be detectable, e.g. when the UE is simultaneously receiving high-gain data from the serving cell. The power density imbalance of the signals may be 20-30 dB when large antenna arrays are employed and SSB reception may be impossible due to ADC dynamic range or extreme interference limitations. Another problematic use case is performing CSI-RS measurements on silent nodes that do not transmit the SSB. </w:t>
      </w:r>
    </w:p>
    <w:p w14:paraId="5E9789F7" w14:textId="77777777" w:rsidR="00A46C79" w:rsidRPr="00D94B67" w:rsidRDefault="00A46C79" w:rsidP="00A46C79">
      <w:pPr>
        <w:pStyle w:val="Observation"/>
        <w:rPr>
          <w:lang w:val="en-US"/>
        </w:rPr>
      </w:pPr>
      <w:bookmarkStart w:id="26" w:name="_Toc498673313"/>
      <w:bookmarkStart w:id="27" w:name="_Toc498721267"/>
      <w:r w:rsidRPr="00D94B67">
        <w:rPr>
          <w:lang w:val="en-US"/>
        </w:rPr>
        <w:t>In some deployments, neighbor-cell CSI-RS RSRP measurements for active mode mobility, using the cell’s default SSB as the sync source, may not be reliable.</w:t>
      </w:r>
      <w:bookmarkEnd w:id="26"/>
      <w:bookmarkEnd w:id="27"/>
      <w:r w:rsidRPr="00D94B67">
        <w:rPr>
          <w:lang w:val="en-US"/>
        </w:rPr>
        <w:t xml:space="preserve"> </w:t>
      </w:r>
    </w:p>
    <w:p w14:paraId="5204CB29" w14:textId="59B3C1BB" w:rsidR="00DC3F27" w:rsidRPr="00713C24" w:rsidRDefault="00DC3F27" w:rsidP="005B161E">
      <w:pPr>
        <w:pStyle w:val="Heading3"/>
        <w:rPr>
          <w:lang w:val="en-US"/>
        </w:rPr>
      </w:pPr>
      <w:r w:rsidRPr="00713C24">
        <w:rPr>
          <w:lang w:val="en-US"/>
        </w:rPr>
        <w:t>RAR reception</w:t>
      </w:r>
    </w:p>
    <w:p w14:paraId="72F99322" w14:textId="2E56B373" w:rsidR="005268BD" w:rsidRPr="00D94B67" w:rsidRDefault="00452B5C" w:rsidP="00D13047">
      <w:pPr>
        <w:rPr>
          <w:lang w:val="en-US"/>
        </w:rPr>
      </w:pPr>
      <w:r w:rsidRPr="00D94B67">
        <w:rPr>
          <w:lang w:val="en-US"/>
        </w:rPr>
        <w:t>In some deployments, an NR cell will consist of multiple TRPs. In order to improve the link budget, the TRPs may transmit the sa</w:t>
      </w:r>
      <w:r w:rsidR="00117328" w:rsidRPr="00D94B67">
        <w:rPr>
          <w:lang w:val="en-US"/>
        </w:rPr>
        <w:t>me SSB information (a single SS block</w:t>
      </w:r>
      <w:r w:rsidRPr="00D94B67">
        <w:rPr>
          <w:lang w:val="en-US"/>
        </w:rPr>
        <w:t xml:space="preserve">) from all TRPs in an SFN manner. A UE therefore obtains an initial timing reference associated with </w:t>
      </w:r>
      <w:r w:rsidR="00117328" w:rsidRPr="00D94B67">
        <w:rPr>
          <w:lang w:val="en-US"/>
        </w:rPr>
        <w:t>a</w:t>
      </w:r>
      <w:r w:rsidRPr="00D94B67">
        <w:rPr>
          <w:lang w:val="en-US"/>
        </w:rPr>
        <w:t xml:space="preserve"> highly dispersive SFN channel. However, </w:t>
      </w:r>
      <w:r w:rsidR="00D52093">
        <w:rPr>
          <w:lang w:val="en-US"/>
        </w:rPr>
        <w:t xml:space="preserve">it may be desirable </w:t>
      </w:r>
      <w:r w:rsidR="00A46C79">
        <w:rPr>
          <w:lang w:val="en-US"/>
        </w:rPr>
        <w:t xml:space="preserve">to </w:t>
      </w:r>
      <w:r w:rsidR="00D52093">
        <w:rPr>
          <w:lang w:val="en-US"/>
        </w:rPr>
        <w:t xml:space="preserve">transmit </w:t>
      </w:r>
      <w:r w:rsidRPr="00D94B67">
        <w:rPr>
          <w:lang w:val="en-US"/>
        </w:rPr>
        <w:t xml:space="preserve">the RAR </w:t>
      </w:r>
      <w:r w:rsidR="00D52093">
        <w:rPr>
          <w:lang w:val="en-US"/>
        </w:rPr>
        <w:t>from</w:t>
      </w:r>
      <w:r w:rsidRPr="00D94B67">
        <w:rPr>
          <w:lang w:val="en-US"/>
        </w:rPr>
        <w:t xml:space="preserve"> a single TRP in the cell, preferably the closest to the UE based on UL evaluation by the gNB. </w:t>
      </w:r>
      <w:r w:rsidR="00385C20">
        <w:rPr>
          <w:lang w:val="en-US"/>
        </w:rPr>
        <w:t>In that case,</w:t>
      </w:r>
      <w:r w:rsidR="005E0E63" w:rsidRPr="00D94B67">
        <w:rPr>
          <w:lang w:val="en-US"/>
        </w:rPr>
        <w:t xml:space="preserve"> the UE may obtain the timing reference from the SFN PSS but the receive the PDCCH from a nearby TRP. </w:t>
      </w:r>
      <w:r w:rsidRPr="00D94B67">
        <w:rPr>
          <w:lang w:val="en-US"/>
        </w:rPr>
        <w:t xml:space="preserve">Depending on the instantaneous fading realization, this may lead to a </w:t>
      </w:r>
      <w:r w:rsidR="005E0E63" w:rsidRPr="00D94B67">
        <w:rPr>
          <w:lang w:val="en-US"/>
        </w:rPr>
        <w:t>severe timing</w:t>
      </w:r>
      <w:r w:rsidR="00BC09B8" w:rsidRPr="00D94B67">
        <w:rPr>
          <w:lang w:val="en-US"/>
        </w:rPr>
        <w:t xml:space="preserve"> </w:t>
      </w:r>
      <w:r w:rsidRPr="00D94B67">
        <w:rPr>
          <w:lang w:val="en-US"/>
        </w:rPr>
        <w:t xml:space="preserve">mismatch </w:t>
      </w:r>
      <w:r w:rsidR="00BC09B8" w:rsidRPr="00D94B67">
        <w:rPr>
          <w:lang w:val="en-US"/>
        </w:rPr>
        <w:t>for RAR reception</w:t>
      </w:r>
      <w:r w:rsidR="00823827" w:rsidRPr="00D94B67">
        <w:rPr>
          <w:lang w:val="en-US"/>
        </w:rPr>
        <w:t xml:space="preserve">. </w:t>
      </w:r>
      <w:r w:rsidR="00BC09B8" w:rsidRPr="00D94B67">
        <w:rPr>
          <w:lang w:val="en-US"/>
        </w:rPr>
        <w:t xml:space="preserve">Additionally, the Doppler difference </w:t>
      </w:r>
      <w:r w:rsidR="00882399" w:rsidRPr="00D94B67">
        <w:rPr>
          <w:lang w:val="en-US"/>
        </w:rPr>
        <w:t>with respect to</w:t>
      </w:r>
      <w:r w:rsidR="00BC09B8" w:rsidRPr="00D94B67">
        <w:rPr>
          <w:lang w:val="en-US"/>
        </w:rPr>
        <w:t xml:space="preserve"> the RAR</w:t>
      </w:r>
      <w:r w:rsidR="00117328" w:rsidRPr="00D94B67">
        <w:rPr>
          <w:lang w:val="en-US"/>
        </w:rPr>
        <w:t>-</w:t>
      </w:r>
      <w:r w:rsidR="00882399" w:rsidRPr="00D94B67">
        <w:rPr>
          <w:lang w:val="en-US"/>
        </w:rPr>
        <w:t>t</w:t>
      </w:r>
      <w:r w:rsidR="00117328" w:rsidRPr="00D94B67">
        <w:rPr>
          <w:lang w:val="en-US"/>
        </w:rPr>
        <w:t>ransmitting</w:t>
      </w:r>
      <w:r w:rsidR="00BC09B8" w:rsidRPr="00D94B67">
        <w:rPr>
          <w:lang w:val="en-US"/>
        </w:rPr>
        <w:t xml:space="preserve"> TRP and the dominant TRP in the SFN profile may </w:t>
      </w:r>
      <w:r w:rsidR="00117328" w:rsidRPr="00D94B67">
        <w:rPr>
          <w:lang w:val="en-US"/>
        </w:rPr>
        <w:t>exceed</w:t>
      </w:r>
      <w:r w:rsidR="00BC09B8" w:rsidRPr="00D94B67">
        <w:rPr>
          <w:lang w:val="en-US"/>
        </w:rPr>
        <w:t xml:space="preserve"> a critical fraction of the SCS and also degrade PDCCH reception.</w:t>
      </w:r>
      <w:r w:rsidR="00117328" w:rsidRPr="00D94B67">
        <w:rPr>
          <w:lang w:val="en-US"/>
        </w:rPr>
        <w:t xml:space="preserve"> </w:t>
      </w:r>
    </w:p>
    <w:p w14:paraId="3C5B6F04" w14:textId="597018DA" w:rsidR="00AF282B" w:rsidRPr="00D94B67" w:rsidRDefault="00AF282B" w:rsidP="00AF282B">
      <w:pPr>
        <w:keepNext/>
        <w:rPr>
          <w:lang w:val="en-US"/>
        </w:rPr>
      </w:pPr>
      <w:r w:rsidRPr="00D94B67">
        <w:rPr>
          <w:lang w:val="en-US"/>
        </w:rPr>
        <w:t xml:space="preserve">An example of PDCCH reception performance in the presence of time and frequency synchronization errors is depicted in Fig. 1. Clearly, even modest timing errors degrade the BLER performance (e.g. 1.4 dB penalty for a 25% CP timing offset at 1% BLER) and larger errors drastically reduce the PDCCH coverage area (e.g. over 6 dB penalty for a 100% CP timing error). The strong impact of the additional offset is due to the ISI </w:t>
      </w:r>
      <w:r w:rsidRPr="00D94B67">
        <w:rPr>
          <w:lang w:val="en-US"/>
        </w:rPr>
        <w:lastRenderedPageBreak/>
        <w:t xml:space="preserve">created by the timing error – a positive offset added to correctly estimated symbol timing leads to eliminating a part of the OFDM symbol contents and inserting samples from the next symbol. </w:t>
      </w:r>
    </w:p>
    <w:p w14:paraId="1ABED162" w14:textId="77777777" w:rsidR="00AF282B" w:rsidRPr="00D94B67" w:rsidRDefault="00AF282B" w:rsidP="00AF282B">
      <w:pPr>
        <w:keepNext/>
        <w:rPr>
          <w:lang w:val="en-US"/>
        </w:rPr>
      </w:pPr>
      <w:r w:rsidRPr="00D94B67">
        <w:rPr>
          <w:lang w:val="en-US"/>
        </w:rPr>
        <w:t xml:space="preserve">The performance in the presence of frequency errors is relatively more robust. Using an advanced OFDM receiver that performs frequency correction using CP samples, as in Fig. 1, the performance does not notably degrade for frequency errors up to 10% of the subcarrier spacing (SCS). However, for simple UE receivers that may omit the correction step, a 10% SCS offset causes performance degradation between 0.5-1 dB, depending on the operating point (not shown). </w:t>
      </w:r>
    </w:p>
    <w:p w14:paraId="257369C8" w14:textId="3C763DA2" w:rsidR="00AF282B" w:rsidRPr="00D94B67" w:rsidRDefault="00AF282B" w:rsidP="00AF282B">
      <w:pPr>
        <w:keepNext/>
        <w:rPr>
          <w:lang w:val="en-US"/>
        </w:rPr>
      </w:pPr>
      <w:r w:rsidRPr="00D94B67">
        <w:rPr>
          <w:lang w:val="en-US"/>
        </w:rPr>
        <w:t>Based on the simulation results, avoiding excessive</w:t>
      </w:r>
      <w:bookmarkStart w:id="28" w:name="_Hlk486248412"/>
      <w:r w:rsidRPr="00D94B67">
        <w:rPr>
          <w:lang w:val="en-US"/>
        </w:rPr>
        <w:t xml:space="preserve"> PDCCH reception penalties requires timing accuracy less than 25% of the CP length and, assuming that UEs with simple receivers should be supported, frequency accuracy better than 10% of the SCS.</w:t>
      </w:r>
      <w:bookmarkEnd w:id="28"/>
      <w:r w:rsidRPr="00D94B67">
        <w:rPr>
          <w:lang w:val="en-US"/>
        </w:rPr>
        <w:t xml:space="preserve"> </w:t>
      </w:r>
    </w:p>
    <w:p w14:paraId="57ADD494" w14:textId="5F494F5C" w:rsidR="00AF282B" w:rsidRPr="00D94B67" w:rsidRDefault="00AF282B" w:rsidP="00AF282B">
      <w:pPr>
        <w:keepNext/>
        <w:rPr>
          <w:lang w:val="en-US"/>
        </w:rPr>
      </w:pPr>
      <w:r w:rsidRPr="00D94B67">
        <w:rPr>
          <w:lang w:val="en-US"/>
        </w:rPr>
        <w:t>In standard deployments, th</w:t>
      </w:r>
      <w:r w:rsidR="005268BD" w:rsidRPr="00D94B67">
        <w:rPr>
          <w:lang w:val="en-US"/>
        </w:rPr>
        <w:t>e</w:t>
      </w:r>
      <w:r w:rsidRPr="00D94B67">
        <w:rPr>
          <w:lang w:val="en-US"/>
        </w:rPr>
        <w:t xml:space="preserve"> criteria above guarantee a sufficient margin, given that PSS/SSS detection typically ensures frequency accuracy within 2% of SCS and a that the timing error will not exceed a few time samples. </w:t>
      </w:r>
      <w:bookmarkStart w:id="29" w:name="_Hlk486248674"/>
      <w:r w:rsidRPr="00D94B67">
        <w:rPr>
          <w:lang w:val="en-US"/>
        </w:rPr>
        <w:t xml:space="preserve">But considering an example NW deployment using 15 kHz numerology with gNBs placed at ISD of 2 km – a presumably common setup in deployments where the LTE cell plan is reused for NR – the PDCCH reception may be compromised e.g. SFN or other non-QCL transmission scenarios. In LTE, SFN transmission is used for MBSFN distribution, where the adopted channel model </w:t>
      </w:r>
      <w:r w:rsidRPr="003E2192">
        <w:fldChar w:fldCharType="begin"/>
      </w:r>
      <w:r w:rsidRPr="00D94B67">
        <w:rPr>
          <w:lang w:val="en-US"/>
        </w:rPr>
        <w:instrText xml:space="preserve"> REF _Ref490218860 \r \h  \* MERGEFORMAT </w:instrText>
      </w:r>
      <w:r w:rsidRPr="003E2192">
        <w:fldChar w:fldCharType="separate"/>
      </w:r>
      <w:r w:rsidRPr="00D94B67">
        <w:rPr>
          <w:lang w:val="en-US"/>
        </w:rPr>
        <w:t>[5]</w:t>
      </w:r>
      <w:r w:rsidRPr="003E2192">
        <w:fldChar w:fldCharType="end"/>
      </w:r>
      <w:r w:rsidRPr="00D94B67">
        <w:rPr>
          <w:lang w:val="en-US"/>
        </w:rPr>
        <w:t xml:space="preserve"> includes copies of the EVA profile at offsets 0, 12, and 27 us, with attenuation 0, -10, and -20 dB respectively. The rms delay spread of the effective channel is 4.4 us and the 90%-energy power delay profile window extends beyond 12 us. The 25% of CP length, on the other hand, is limited to 1.2 us. </w:t>
      </w:r>
      <w:bookmarkEnd w:id="29"/>
      <w:r w:rsidRPr="00D94B67">
        <w:rPr>
          <w:lang w:val="en-US"/>
        </w:rPr>
        <w:t>Thus, if the timing synchronization is based on the receiver PSS from a single nearby node while the PDCCH is transmitted using SFN, depending on instantaneous fading, the effective PDCCH timing offset may significantly exceed the CP length of the PDCCH and critically impair its detection performance.</w:t>
      </w:r>
    </w:p>
    <w:p w14:paraId="42C11113" w14:textId="49EEED77" w:rsidR="00AF282B" w:rsidRPr="00D94B67" w:rsidRDefault="00AF282B" w:rsidP="00AF282B">
      <w:pPr>
        <w:keepNext/>
        <w:rPr>
          <w:lang w:val="en-US"/>
        </w:rPr>
      </w:pPr>
      <w:r w:rsidRPr="00D94B67">
        <w:rPr>
          <w:lang w:val="en-US"/>
        </w:rPr>
        <w:t xml:space="preserve">The non-QCL relation of SSB and PDCCH may also give rise to excessive frequency offsets: </w:t>
      </w:r>
      <w:bookmarkStart w:id="30" w:name="_Hlk486248798"/>
      <w:r w:rsidRPr="00D94B67">
        <w:rPr>
          <w:lang w:val="en-US"/>
        </w:rPr>
        <w:t xml:space="preserve">For example, a UE moving at 120 km/h in 4 GHz carrier can incur a Doppler error of up to 0.9 kHz. Including the residual error after SSB detection (2% of the 15 kHz SCS), </w:t>
      </w:r>
      <w:bookmarkEnd w:id="30"/>
      <w:r w:rsidRPr="00D94B67">
        <w:rPr>
          <w:lang w:val="en-US"/>
        </w:rPr>
        <w:t>the worst case error 1.2 kHz approaches the robust operating range of PDCCH.</w:t>
      </w:r>
    </w:p>
    <w:p w14:paraId="03B8E18B" w14:textId="1445D59A" w:rsidR="00AF282B" w:rsidRPr="00713C24" w:rsidRDefault="00AF282B" w:rsidP="001A1CB6">
      <w:bookmarkStart w:id="31" w:name="_Toc492598280"/>
      <w:r w:rsidRPr="003E2192">
        <w:rPr>
          <w:noProof/>
        </w:rPr>
        <w:drawing>
          <wp:inline distT="0" distB="0" distL="0" distR="0" wp14:anchorId="3A876C6E" wp14:editId="78578F2D">
            <wp:extent cx="4960620" cy="369357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71442" cy="3701633"/>
                    </a:xfrm>
                    <a:prstGeom prst="rect">
                      <a:avLst/>
                    </a:prstGeom>
                  </pic:spPr>
                </pic:pic>
              </a:graphicData>
            </a:graphic>
          </wp:inline>
        </w:drawing>
      </w:r>
      <w:bookmarkEnd w:id="31"/>
    </w:p>
    <w:p w14:paraId="66B14A97" w14:textId="6E18DDDF" w:rsidR="00AF282B" w:rsidRPr="00D94B67" w:rsidRDefault="00AF282B" w:rsidP="00AF282B">
      <w:pPr>
        <w:pStyle w:val="Caption"/>
        <w:jc w:val="left"/>
        <w:rPr>
          <w:lang w:val="en-US"/>
        </w:rPr>
      </w:pPr>
      <w:r w:rsidRPr="00D94B67">
        <w:rPr>
          <w:lang w:val="en-US"/>
        </w:rPr>
        <w:lastRenderedPageBreak/>
        <w:t xml:space="preserve">Figure </w:t>
      </w:r>
      <w:r w:rsidRPr="003E2192">
        <w:fldChar w:fldCharType="begin"/>
      </w:r>
      <w:r w:rsidRPr="00D94B67">
        <w:rPr>
          <w:lang w:val="en-US"/>
        </w:rPr>
        <w:instrText xml:space="preserve"> SEQ Figure \* ARABIC </w:instrText>
      </w:r>
      <w:r w:rsidRPr="003E2192">
        <w:fldChar w:fldCharType="separate"/>
      </w:r>
      <w:r w:rsidRPr="00D94B67">
        <w:rPr>
          <w:noProof/>
          <w:lang w:val="en-US"/>
        </w:rPr>
        <w:t>1</w:t>
      </w:r>
      <w:r w:rsidRPr="003E2192">
        <w:fldChar w:fldCharType="end"/>
      </w:r>
      <w:r w:rsidRPr="00D94B67">
        <w:rPr>
          <w:lang w:val="en-US"/>
        </w:rPr>
        <w:t xml:space="preserve">: PDCCH BLER performance with inaccurate time and frequency synchronization. </w:t>
      </w:r>
    </w:p>
    <w:p w14:paraId="32803DBE" w14:textId="0C774B45" w:rsidR="00A825E5" w:rsidRPr="00D94B67" w:rsidRDefault="00A825E5" w:rsidP="00D13047">
      <w:pPr>
        <w:rPr>
          <w:lang w:val="en-US"/>
        </w:rPr>
      </w:pPr>
      <w:r w:rsidRPr="00D94B67">
        <w:rPr>
          <w:lang w:val="en-US"/>
        </w:rPr>
        <w:t xml:space="preserve">Another possible deployment type where the received SSB does not necessarily reflect the relevant T/F alignment parameters </w:t>
      </w:r>
      <w:r w:rsidR="00117328" w:rsidRPr="00D94B67">
        <w:rPr>
          <w:lang w:val="en-US"/>
        </w:rPr>
        <w:t xml:space="preserve">for the RAR PDCCH </w:t>
      </w:r>
      <w:r w:rsidRPr="00D94B67">
        <w:rPr>
          <w:lang w:val="en-US"/>
        </w:rPr>
        <w:t xml:space="preserve">is the silent node deployment. Some of the nodes, e.g. the macro gNB layer, transmit </w:t>
      </w:r>
      <w:r w:rsidR="00117328" w:rsidRPr="00D94B67">
        <w:rPr>
          <w:lang w:val="en-US"/>
        </w:rPr>
        <w:t xml:space="preserve">the </w:t>
      </w:r>
      <w:r w:rsidRPr="00D94B67">
        <w:rPr>
          <w:lang w:val="en-US"/>
        </w:rPr>
        <w:t xml:space="preserve">SSB, while others, e.g. the pico gNB layer, do not. However, the NW may choose to respond </w:t>
      </w:r>
      <w:r w:rsidR="00C43E08" w:rsidRPr="00D94B67">
        <w:rPr>
          <w:lang w:val="en-US"/>
        </w:rPr>
        <w:t>w</w:t>
      </w:r>
      <w:r w:rsidRPr="00D94B67">
        <w:rPr>
          <w:lang w:val="en-US"/>
        </w:rPr>
        <w:t>ith a RAR from</w:t>
      </w:r>
      <w:r w:rsidR="00C43E08" w:rsidRPr="00D94B67">
        <w:rPr>
          <w:lang w:val="en-US"/>
        </w:rPr>
        <w:t xml:space="preserve"> one of the silent nodes for which the T/F parameters of the detected SSB node are suboptimal or outright unsuitable. For example, </w:t>
      </w:r>
      <w:r w:rsidR="00663455" w:rsidRPr="00D94B67">
        <w:rPr>
          <w:lang w:val="en-US"/>
        </w:rPr>
        <w:t xml:space="preserve">the 2 km ISD macro deployment case above may cause timing errors up to </w:t>
      </w:r>
      <w:r w:rsidR="00CF47EA" w:rsidRPr="00D94B67">
        <w:rPr>
          <w:lang w:val="en-US"/>
        </w:rPr>
        <w:t>3</w:t>
      </w:r>
      <w:r w:rsidR="00663455" w:rsidRPr="00D94B67">
        <w:rPr>
          <w:lang w:val="en-US"/>
        </w:rPr>
        <w:t xml:space="preserve"> us </w:t>
      </w:r>
      <w:r w:rsidR="00CF47EA" w:rsidRPr="00D94B67">
        <w:rPr>
          <w:lang w:val="en-US"/>
        </w:rPr>
        <w:t xml:space="preserve">(if the timing reference is based on a macro node half an ISD away) compared </w:t>
      </w:r>
      <w:r w:rsidR="00663455" w:rsidRPr="00D94B67">
        <w:rPr>
          <w:lang w:val="en-US"/>
        </w:rPr>
        <w:t>to the closest pico node, significantly degrading PDCCH reception.</w:t>
      </w:r>
      <w:r w:rsidR="00C43E08" w:rsidRPr="00D94B67">
        <w:rPr>
          <w:lang w:val="en-US"/>
        </w:rPr>
        <w:t xml:space="preserve">  </w:t>
      </w:r>
    </w:p>
    <w:p w14:paraId="509E7308" w14:textId="578F3ED4" w:rsidR="00B23B09" w:rsidRPr="00D94B67" w:rsidRDefault="00B23B09" w:rsidP="00EE024F">
      <w:pPr>
        <w:pStyle w:val="Observation"/>
        <w:rPr>
          <w:lang w:val="en-US"/>
        </w:rPr>
      </w:pPr>
      <w:bookmarkStart w:id="32" w:name="_Toc494199970"/>
      <w:bookmarkStart w:id="33" w:name="_Toc494199982"/>
      <w:bookmarkStart w:id="34" w:name="_Toc494200023"/>
      <w:bookmarkStart w:id="35" w:name="_Toc494200031"/>
      <w:bookmarkStart w:id="36" w:name="_Toc494200091"/>
      <w:bookmarkStart w:id="37" w:name="_Toc494716910"/>
      <w:bookmarkStart w:id="38" w:name="_Toc494746958"/>
      <w:bookmarkStart w:id="39" w:name="_Toc498673314"/>
      <w:bookmarkStart w:id="40" w:name="_Toc498721268"/>
      <w:r w:rsidRPr="00D94B67">
        <w:rPr>
          <w:lang w:val="en-US"/>
        </w:rPr>
        <w:t>In some deployments, PDCCH carrying RAR may not be reliably received using the default SSB as the sync source.</w:t>
      </w:r>
      <w:bookmarkEnd w:id="32"/>
      <w:bookmarkEnd w:id="33"/>
      <w:bookmarkEnd w:id="34"/>
      <w:bookmarkEnd w:id="35"/>
      <w:bookmarkEnd w:id="36"/>
      <w:bookmarkEnd w:id="37"/>
      <w:bookmarkEnd w:id="38"/>
      <w:bookmarkEnd w:id="39"/>
      <w:bookmarkEnd w:id="40"/>
      <w:r w:rsidRPr="00D94B67">
        <w:rPr>
          <w:lang w:val="en-US"/>
        </w:rPr>
        <w:t xml:space="preserve"> </w:t>
      </w:r>
    </w:p>
    <w:p w14:paraId="479F6DAA" w14:textId="698AA52A" w:rsidR="00DC3F27" w:rsidRPr="00713C24" w:rsidRDefault="00DC3F27" w:rsidP="005B161E">
      <w:pPr>
        <w:pStyle w:val="Heading3"/>
        <w:rPr>
          <w:lang w:val="en-US"/>
        </w:rPr>
      </w:pPr>
      <w:r w:rsidRPr="00713C24">
        <w:rPr>
          <w:lang w:val="en-US"/>
        </w:rPr>
        <w:t>Paging reception</w:t>
      </w:r>
    </w:p>
    <w:p w14:paraId="2741D771" w14:textId="0DEDF86A" w:rsidR="00F01A05" w:rsidRPr="00D94B67" w:rsidRDefault="00BC09B8" w:rsidP="00F01A05">
      <w:pPr>
        <w:rPr>
          <w:lang w:val="en-US"/>
        </w:rPr>
      </w:pPr>
      <w:r w:rsidRPr="00D94B67">
        <w:rPr>
          <w:lang w:val="en-US"/>
        </w:rPr>
        <w:t>Paging</w:t>
      </w:r>
      <w:r w:rsidR="00A825E5" w:rsidRPr="00D94B67">
        <w:rPr>
          <w:lang w:val="en-US"/>
        </w:rPr>
        <w:t xml:space="preserve"> signa</w:t>
      </w:r>
      <w:r w:rsidRPr="00D94B67">
        <w:rPr>
          <w:lang w:val="en-US"/>
        </w:rPr>
        <w:t>ling for UEs in idle/inactive mode may suffer from situation</w:t>
      </w:r>
      <w:r w:rsidR="00C43E08" w:rsidRPr="00D94B67">
        <w:rPr>
          <w:lang w:val="en-US"/>
        </w:rPr>
        <w:t>s</w:t>
      </w:r>
      <w:r w:rsidRPr="00D94B67">
        <w:rPr>
          <w:lang w:val="en-US"/>
        </w:rPr>
        <w:t xml:space="preserve"> similar to </w:t>
      </w:r>
      <w:r w:rsidR="00570C8D" w:rsidRPr="00D94B67">
        <w:rPr>
          <w:lang w:val="en-US"/>
        </w:rPr>
        <w:t>the one</w:t>
      </w:r>
      <w:r w:rsidR="00A825E5" w:rsidRPr="00D94B67">
        <w:rPr>
          <w:lang w:val="en-US"/>
        </w:rPr>
        <w:t>s</w:t>
      </w:r>
      <w:r w:rsidR="00570C8D" w:rsidRPr="00D94B67">
        <w:rPr>
          <w:lang w:val="en-US"/>
        </w:rPr>
        <w:t xml:space="preserve"> described for RAR reception above. </w:t>
      </w:r>
      <w:r w:rsidR="00385C20">
        <w:rPr>
          <w:lang w:val="en-US"/>
        </w:rPr>
        <w:t xml:space="preserve">From NW efficienct viewpoints, </w:t>
      </w:r>
      <w:r w:rsidR="006A36EF" w:rsidRPr="00D94B67">
        <w:rPr>
          <w:lang w:val="en-US"/>
        </w:rPr>
        <w:t xml:space="preserve">it may be preferable to first transmit </w:t>
      </w:r>
      <w:r w:rsidR="00570C8D" w:rsidRPr="00D94B67">
        <w:rPr>
          <w:lang w:val="en-US"/>
        </w:rPr>
        <w:t xml:space="preserve">the paging indication from the TRP closest to the UE, </w:t>
      </w:r>
      <w:r w:rsidR="00385C20">
        <w:rPr>
          <w:lang w:val="en-US"/>
        </w:rPr>
        <w:t xml:space="preserve">and </w:t>
      </w:r>
      <w:r w:rsidR="00570C8D" w:rsidRPr="00D94B67">
        <w:rPr>
          <w:lang w:val="en-US"/>
        </w:rPr>
        <w:t xml:space="preserve">the </w:t>
      </w:r>
      <w:r w:rsidR="003D0065" w:rsidRPr="00D94B67">
        <w:rPr>
          <w:lang w:val="en-US"/>
        </w:rPr>
        <w:t>T/F reference obtained by the UE from SSB detection may be inappropriate for PDCCH reception</w:t>
      </w:r>
      <w:r w:rsidR="006A36EF" w:rsidRPr="00D94B67">
        <w:rPr>
          <w:lang w:val="en-US"/>
        </w:rPr>
        <w:t xml:space="preserve">. </w:t>
      </w:r>
    </w:p>
    <w:p w14:paraId="6A85D999" w14:textId="5D31D0BB" w:rsidR="00CF47EA" w:rsidRPr="00D94B67" w:rsidRDefault="00CF47EA" w:rsidP="00F01A05">
      <w:pPr>
        <w:rPr>
          <w:lang w:val="en-US"/>
        </w:rPr>
      </w:pPr>
      <w:r w:rsidRPr="00D94B67">
        <w:rPr>
          <w:lang w:val="en-US"/>
        </w:rPr>
        <w:t xml:space="preserve">In non-standalone deployments, the SSB period may be configured to be long, 80-160 ms, to maximize NW energy efficiency. In paging or RAR configurations where the PDCCH reception occasion is temporally separated from the closest previous SSB occasion, a long delay between SSB and detection and PDCCH reception may cause the UE local frequency reference, operating in an open-loop mode, to drift by a non-negligible fraction of the SCS. Using a typical frequency drift rate of 1 ppm/s when a UE transitions from active to inactive mode, the frequency offset after 150 ms is up to 1.5 kHz, including initial residual SSB detection error. This again deteriorates RAR reception quality or may make reception impossible.  </w:t>
      </w:r>
    </w:p>
    <w:p w14:paraId="23F2C77E" w14:textId="5B2182F4" w:rsidR="00F01A05" w:rsidRPr="00D94B67" w:rsidRDefault="00F01A05" w:rsidP="00F01A05">
      <w:pPr>
        <w:pStyle w:val="Observation"/>
        <w:rPr>
          <w:lang w:val="en-US"/>
        </w:rPr>
      </w:pPr>
      <w:bookmarkStart w:id="41" w:name="_Toc485122758"/>
      <w:bookmarkStart w:id="42" w:name="_Toc485148414"/>
      <w:bookmarkStart w:id="43" w:name="_Toc485294689"/>
      <w:bookmarkStart w:id="44" w:name="_Toc485407858"/>
      <w:bookmarkStart w:id="45" w:name="_Toc492598282"/>
      <w:bookmarkStart w:id="46" w:name="_Toc492598318"/>
      <w:bookmarkStart w:id="47" w:name="_Toc492629153"/>
      <w:bookmarkStart w:id="48" w:name="_Toc492631148"/>
      <w:bookmarkStart w:id="49" w:name="_Toc492915163"/>
      <w:bookmarkStart w:id="50" w:name="_Toc494198304"/>
      <w:bookmarkStart w:id="51" w:name="_Toc494199972"/>
      <w:bookmarkStart w:id="52" w:name="_Toc494199984"/>
      <w:bookmarkStart w:id="53" w:name="_Toc494200024"/>
      <w:bookmarkStart w:id="54" w:name="_Toc494200032"/>
      <w:bookmarkStart w:id="55" w:name="_Toc494200092"/>
      <w:bookmarkStart w:id="56" w:name="_Toc494716911"/>
      <w:bookmarkStart w:id="57" w:name="_Toc494746959"/>
      <w:bookmarkStart w:id="58" w:name="_Toc498673315"/>
      <w:bookmarkStart w:id="59" w:name="_Toc498721269"/>
      <w:r w:rsidRPr="00D94B67">
        <w:rPr>
          <w:lang w:val="en-US"/>
        </w:rPr>
        <w:t xml:space="preserve">In some deployments, PDCCH carrying paging indication may not be reliably received using </w:t>
      </w:r>
      <w:r w:rsidR="00B23B09" w:rsidRPr="00D94B67">
        <w:rPr>
          <w:lang w:val="en-US"/>
        </w:rPr>
        <w:t xml:space="preserve">the default </w:t>
      </w:r>
      <w:r w:rsidRPr="00D94B67">
        <w:rPr>
          <w:lang w:val="en-US"/>
        </w:rPr>
        <w:t>SSB as the sync source.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D94B67">
        <w:rPr>
          <w:lang w:val="en-US"/>
        </w:rPr>
        <w:t xml:space="preserve"> </w:t>
      </w:r>
    </w:p>
    <w:p w14:paraId="3E5EE272" w14:textId="01518831" w:rsidR="00AF282B" w:rsidRPr="00713C24" w:rsidRDefault="00AF282B" w:rsidP="00AF282B">
      <w:pPr>
        <w:pStyle w:val="Heading3"/>
        <w:rPr>
          <w:lang w:val="en-US"/>
        </w:rPr>
      </w:pPr>
      <w:bookmarkStart w:id="60" w:name="_Ref490219802"/>
      <w:r w:rsidRPr="00713C24">
        <w:rPr>
          <w:lang w:val="en-US"/>
        </w:rPr>
        <w:t>RMSI reception</w:t>
      </w:r>
      <w:bookmarkEnd w:id="60"/>
    </w:p>
    <w:p w14:paraId="5921FE9D" w14:textId="77777777" w:rsidR="00AF282B" w:rsidRPr="00D94B67" w:rsidRDefault="00AF282B" w:rsidP="00AF282B">
      <w:pPr>
        <w:keepNext/>
        <w:rPr>
          <w:lang w:val="en-US"/>
        </w:rPr>
      </w:pPr>
      <w:r w:rsidRPr="00D94B67">
        <w:rPr>
          <w:lang w:val="en-US"/>
        </w:rPr>
        <w:t xml:space="preserve">According to the following RAN2 agreement from RAN2#95 </w:t>
      </w:r>
      <w:r w:rsidRPr="003E2192">
        <w:fldChar w:fldCharType="begin"/>
      </w:r>
      <w:r w:rsidRPr="00D94B67">
        <w:rPr>
          <w:lang w:val="en-US"/>
        </w:rPr>
        <w:instrText xml:space="preserve"> REF _Ref485196653 \r \h  \* MERGEFORMAT </w:instrText>
      </w:r>
      <w:r w:rsidRPr="003E2192">
        <w:fldChar w:fldCharType="separate"/>
      </w:r>
      <w:r w:rsidRPr="00D94B67">
        <w:rPr>
          <w:lang w:val="en-US"/>
        </w:rPr>
        <w:t>[1]</w:t>
      </w:r>
      <w:r w:rsidRPr="003E2192">
        <w:fldChar w:fldCharType="end"/>
      </w:r>
    </w:p>
    <w:p w14:paraId="0831A6A7" w14:textId="77777777" w:rsidR="00AF282B" w:rsidRPr="00D94B67" w:rsidRDefault="00AF282B" w:rsidP="00AF282B">
      <w:pPr>
        <w:pStyle w:val="Doc-text2"/>
        <w:keepNext/>
        <w:pBdr>
          <w:top w:val="single" w:sz="4" w:space="1" w:color="auto"/>
          <w:left w:val="single" w:sz="4" w:space="4" w:color="auto"/>
          <w:bottom w:val="single" w:sz="4" w:space="13" w:color="auto"/>
          <w:right w:val="single" w:sz="4" w:space="4" w:color="auto"/>
        </w:pBdr>
        <w:ind w:left="1613" w:hanging="360"/>
        <w:rPr>
          <w:lang w:val="en-US"/>
        </w:rPr>
      </w:pPr>
      <w:r w:rsidRPr="00D94B67">
        <w:rPr>
          <w:lang w:val="en-US"/>
        </w:rPr>
        <w:t>Agreements</w:t>
      </w:r>
    </w:p>
    <w:p w14:paraId="73D3116F" w14:textId="77777777" w:rsidR="00AF282B" w:rsidRPr="00D94B67" w:rsidRDefault="00AF282B" w:rsidP="00AF282B">
      <w:pPr>
        <w:pStyle w:val="Doc-text2"/>
        <w:keepNext/>
        <w:pBdr>
          <w:top w:val="single" w:sz="4" w:space="1" w:color="auto"/>
          <w:left w:val="single" w:sz="4" w:space="4" w:color="auto"/>
          <w:bottom w:val="single" w:sz="4" w:space="13" w:color="auto"/>
          <w:right w:val="single" w:sz="4" w:space="4" w:color="auto"/>
        </w:pBdr>
        <w:ind w:left="1613" w:hanging="360"/>
        <w:rPr>
          <w:lang w:val="en-US"/>
        </w:rPr>
      </w:pPr>
      <w:r w:rsidRPr="00D94B67">
        <w:rPr>
          <w:lang w:val="en-US"/>
        </w:rPr>
        <w:t>1: Broadcasting some kind of index/identifier in minimum SI to enable the UE to avoid re-acquisition of already stored SI-block(s)/SI message(s). The index/identifier and associated system information can be applicable in more than one cell. System information valid in one cell may be valid also in other cells.</w:t>
      </w:r>
    </w:p>
    <w:p w14:paraId="0350B515" w14:textId="77777777" w:rsidR="00AF282B" w:rsidRPr="00D94B67" w:rsidRDefault="00AF282B" w:rsidP="00AF282B">
      <w:pPr>
        <w:pStyle w:val="Doc-text2"/>
        <w:keepNext/>
        <w:pBdr>
          <w:top w:val="single" w:sz="4" w:space="1" w:color="auto"/>
          <w:left w:val="single" w:sz="4" w:space="4" w:color="auto"/>
          <w:bottom w:val="single" w:sz="4" w:space="13" w:color="auto"/>
          <w:right w:val="single" w:sz="4" w:space="4" w:color="auto"/>
        </w:pBdr>
        <w:ind w:left="1613" w:hanging="360"/>
        <w:rPr>
          <w:lang w:val="en-US"/>
        </w:rPr>
      </w:pPr>
      <w:r w:rsidRPr="00D94B67">
        <w:rPr>
          <w:lang w:val="en-US"/>
        </w:rPr>
        <w:t>FFS what the index/identifier is (e.g. single index or area plus value tag, etc.)</w:t>
      </w:r>
    </w:p>
    <w:p w14:paraId="0324E537" w14:textId="1BBE6159" w:rsidR="00AF282B" w:rsidRPr="00D94B67" w:rsidRDefault="00AF282B" w:rsidP="00AF282B">
      <w:pPr>
        <w:keepNext/>
        <w:rPr>
          <w:lang w:val="en-US"/>
        </w:rPr>
      </w:pPr>
      <w:r w:rsidRPr="00D94B67">
        <w:rPr>
          <w:lang w:val="en-US"/>
        </w:rPr>
        <w:t xml:space="preserve">it follows that the RMSI carried by PDCCH/PDSCH may be common for multiple cells, while the SI provided via PBCH is cell-specific. In the contribution </w:t>
      </w:r>
      <w:r w:rsidRPr="003E2192">
        <w:fldChar w:fldCharType="begin"/>
      </w:r>
      <w:r w:rsidRPr="00D94B67">
        <w:rPr>
          <w:lang w:val="en-US"/>
        </w:rPr>
        <w:instrText xml:space="preserve"> REF _Ref485197819 \r \h  \* MERGEFORMAT </w:instrText>
      </w:r>
      <w:r w:rsidRPr="003E2192">
        <w:fldChar w:fldCharType="separate"/>
      </w:r>
      <w:r w:rsidRPr="00D94B67">
        <w:rPr>
          <w:lang w:val="en-US"/>
        </w:rPr>
        <w:t>[3]</w:t>
      </w:r>
      <w:r w:rsidRPr="003E2192">
        <w:fldChar w:fldCharType="end"/>
      </w:r>
      <w:r w:rsidRPr="00D94B67">
        <w:rPr>
          <w:lang w:val="en-US"/>
        </w:rPr>
        <w:t xml:space="preserve">, we further discuss and propose that NR shall support transmitting the RMSI in a wide (sector or omni) beam also for the case when the SS Blocks are transmitted in narrow beams. Since the SS Block is used for other purposes than providing a sync reference for the RMSI </w:t>
      </w:r>
      <w:r w:rsidRPr="00D94B67">
        <w:rPr>
          <w:lang w:val="en-US"/>
        </w:rPr>
        <w:lastRenderedPageBreak/>
        <w:t xml:space="preserve">(e.g. active mode mobility measurements) there is a need to allow for separate optimization of different functionalities (such as AMM and SI broadcast) in NR. </w:t>
      </w:r>
    </w:p>
    <w:p w14:paraId="397A1472" w14:textId="71A94E5F" w:rsidR="00AF282B" w:rsidRPr="00D94B67" w:rsidRDefault="00AF282B" w:rsidP="00AF282B">
      <w:pPr>
        <w:pStyle w:val="Observation"/>
        <w:rPr>
          <w:lang w:val="en-US"/>
        </w:rPr>
      </w:pPr>
      <w:bookmarkStart w:id="61" w:name="_Toc485122756"/>
      <w:bookmarkStart w:id="62" w:name="_Toc485148412"/>
      <w:bookmarkStart w:id="63" w:name="_Toc485294687"/>
      <w:bookmarkStart w:id="64" w:name="_Toc485407856"/>
      <w:bookmarkStart w:id="65" w:name="_Toc492598279"/>
      <w:bookmarkStart w:id="66" w:name="_Toc492598316"/>
      <w:bookmarkStart w:id="67" w:name="_Toc492629151"/>
      <w:bookmarkStart w:id="68" w:name="_Toc492631146"/>
      <w:bookmarkStart w:id="69" w:name="_Toc492915164"/>
      <w:bookmarkStart w:id="70" w:name="_Toc494198305"/>
      <w:bookmarkStart w:id="71" w:name="_Toc494199973"/>
      <w:bookmarkStart w:id="72" w:name="_Toc494199985"/>
      <w:bookmarkStart w:id="73" w:name="_Toc494200025"/>
      <w:bookmarkStart w:id="74" w:name="_Toc494200033"/>
      <w:bookmarkStart w:id="75" w:name="_Toc494200093"/>
      <w:bookmarkStart w:id="76" w:name="_Toc494716912"/>
      <w:bookmarkStart w:id="77" w:name="_Toc494746960"/>
      <w:bookmarkStart w:id="78" w:name="_Toc498673316"/>
      <w:bookmarkStart w:id="79" w:name="_Toc498721270"/>
      <w:r w:rsidRPr="00D94B67">
        <w:rPr>
          <w:lang w:val="en-US"/>
        </w:rPr>
        <w:t xml:space="preserve">In some deployments, PDCCH carrying RMSI may not be reliably received using </w:t>
      </w:r>
      <w:r w:rsidR="00B23B09" w:rsidRPr="00D94B67">
        <w:rPr>
          <w:lang w:val="en-US"/>
        </w:rPr>
        <w:t xml:space="preserve">default </w:t>
      </w:r>
      <w:r w:rsidRPr="00D94B67">
        <w:rPr>
          <w:lang w:val="en-US"/>
        </w:rPr>
        <w:t>SSB as sync source.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D94B67">
        <w:rPr>
          <w:lang w:val="en-US"/>
        </w:rPr>
        <w:t xml:space="preserve"> </w:t>
      </w:r>
    </w:p>
    <w:p w14:paraId="78888040" w14:textId="39D4CE79" w:rsidR="00A8002A" w:rsidRPr="00713C24" w:rsidRDefault="00A8002A" w:rsidP="00A8002A">
      <w:pPr>
        <w:pStyle w:val="Heading3"/>
        <w:rPr>
          <w:lang w:val="en-US"/>
        </w:rPr>
      </w:pPr>
      <w:r>
        <w:rPr>
          <w:lang w:val="en-US"/>
        </w:rPr>
        <w:t>O</w:t>
      </w:r>
      <w:r w:rsidRPr="00713C24">
        <w:rPr>
          <w:lang w:val="en-US"/>
        </w:rPr>
        <w:t>SI reception</w:t>
      </w:r>
    </w:p>
    <w:p w14:paraId="67F9E30E" w14:textId="1191B660" w:rsidR="00A8002A" w:rsidRPr="00D94B67" w:rsidRDefault="00A8002A" w:rsidP="00A8002A">
      <w:pPr>
        <w:keepNext/>
        <w:rPr>
          <w:lang w:val="en-US"/>
        </w:rPr>
      </w:pPr>
      <w:r w:rsidRPr="00D94B67">
        <w:rPr>
          <w:lang w:val="en-US"/>
        </w:rPr>
        <w:t>OSI</w:t>
      </w:r>
      <w:r w:rsidR="00A86328" w:rsidRPr="00D94B67">
        <w:rPr>
          <w:lang w:val="en-US"/>
        </w:rPr>
        <w:t xml:space="preserve"> will be transmitted on-demand to individual UEs, preferably in conjunction with RMSI transmissions. The QCL relationship of OSI with SSB is therefore not guaranteed in the same situations as described for RMSI transmission.</w:t>
      </w:r>
    </w:p>
    <w:p w14:paraId="1E0E3C98" w14:textId="073097D0" w:rsidR="00A86328" w:rsidRPr="00D94B67" w:rsidRDefault="00A86328" w:rsidP="00A86328">
      <w:pPr>
        <w:pStyle w:val="Observation"/>
        <w:rPr>
          <w:lang w:val="en-US"/>
        </w:rPr>
      </w:pPr>
      <w:bookmarkStart w:id="80" w:name="_Toc494716913"/>
      <w:bookmarkStart w:id="81" w:name="_Toc494746961"/>
      <w:bookmarkStart w:id="82" w:name="_Toc498673317"/>
      <w:bookmarkStart w:id="83" w:name="_Toc498721271"/>
      <w:r w:rsidRPr="00D94B67">
        <w:rPr>
          <w:lang w:val="en-US"/>
        </w:rPr>
        <w:t>In some deployments, PDCCH carrying OSI may not be reliably received using default SSB as sync source.</w:t>
      </w:r>
      <w:bookmarkEnd w:id="80"/>
      <w:bookmarkEnd w:id="81"/>
      <w:bookmarkEnd w:id="82"/>
      <w:bookmarkEnd w:id="83"/>
      <w:r w:rsidRPr="00D94B67">
        <w:rPr>
          <w:lang w:val="en-US"/>
        </w:rPr>
        <w:t xml:space="preserve"> </w:t>
      </w:r>
    </w:p>
    <w:p w14:paraId="56270B53" w14:textId="00221D19" w:rsidR="00406F67" w:rsidRPr="00713C24" w:rsidRDefault="00DC3F27" w:rsidP="00045529">
      <w:pPr>
        <w:pStyle w:val="Heading2"/>
        <w:rPr>
          <w:lang w:val="en-US"/>
        </w:rPr>
      </w:pPr>
      <w:r w:rsidRPr="00713C24">
        <w:rPr>
          <w:lang w:val="en-US"/>
        </w:rPr>
        <w:t>Additional sync provision</w:t>
      </w:r>
      <w:r w:rsidR="0047773C" w:rsidRPr="00713C24">
        <w:rPr>
          <w:lang w:val="en-US"/>
        </w:rPr>
        <w:t xml:space="preserve"> </w:t>
      </w:r>
      <w:bookmarkEnd w:id="3"/>
    </w:p>
    <w:p w14:paraId="0C543A5F" w14:textId="7ECB9D35" w:rsidR="00B23B09" w:rsidRPr="00D94B67" w:rsidRDefault="005B06F5" w:rsidP="00E7355D">
      <w:pPr>
        <w:rPr>
          <w:lang w:val="en-US"/>
        </w:rPr>
      </w:pPr>
      <w:r w:rsidRPr="00D94B67">
        <w:rPr>
          <w:lang w:val="en-US"/>
        </w:rPr>
        <w:t>As seen</w:t>
      </w:r>
      <w:r w:rsidR="00BB6024" w:rsidRPr="00D94B67">
        <w:rPr>
          <w:lang w:val="en-US"/>
        </w:rPr>
        <w:t xml:space="preserve"> in the previous section, there are many potential use cases where </w:t>
      </w:r>
      <w:r w:rsidR="00B23B09" w:rsidRPr="00D94B67">
        <w:rPr>
          <w:lang w:val="en-US"/>
        </w:rPr>
        <w:t xml:space="preserve">the default </w:t>
      </w:r>
      <w:r w:rsidR="00BB6024" w:rsidRPr="00D94B67">
        <w:rPr>
          <w:lang w:val="en-US"/>
        </w:rPr>
        <w:t xml:space="preserve">SSB does not serve as a viable source of </w:t>
      </w:r>
      <w:r w:rsidR="00410CC0" w:rsidRPr="00D94B67">
        <w:rPr>
          <w:lang w:val="en-US"/>
        </w:rPr>
        <w:t xml:space="preserve">T/F </w:t>
      </w:r>
      <w:r w:rsidR="00BB6024" w:rsidRPr="00D94B67">
        <w:rPr>
          <w:lang w:val="en-US"/>
        </w:rPr>
        <w:t xml:space="preserve">sync </w:t>
      </w:r>
      <w:r w:rsidR="00B23B09" w:rsidRPr="00D94B67">
        <w:rPr>
          <w:lang w:val="en-US"/>
        </w:rPr>
        <w:t>f</w:t>
      </w:r>
      <w:r w:rsidR="00AD791E" w:rsidRPr="00D94B67">
        <w:rPr>
          <w:lang w:val="en-US"/>
        </w:rPr>
        <w:t xml:space="preserve">or e.g. PDCCH reception or CSI-RS measurements. </w:t>
      </w:r>
      <w:r w:rsidR="00FA6742" w:rsidRPr="00D94B67">
        <w:rPr>
          <w:lang w:val="en-US"/>
        </w:rPr>
        <w:t>Situations affecting initial access to the NW</w:t>
      </w:r>
      <w:r w:rsidR="00B23B09" w:rsidRPr="00D94B67">
        <w:rPr>
          <w:lang w:val="en-US"/>
        </w:rPr>
        <w:t>,</w:t>
      </w:r>
      <w:r w:rsidR="00FA6742" w:rsidRPr="00D94B67">
        <w:rPr>
          <w:lang w:val="en-US"/>
        </w:rPr>
        <w:t xml:space="preserve"> </w:t>
      </w:r>
      <w:r w:rsidR="00B23B09" w:rsidRPr="00D94B67">
        <w:rPr>
          <w:lang w:val="en-US"/>
        </w:rPr>
        <w:t>e.g. the RA process, are of particular importance</w:t>
      </w:r>
      <w:r w:rsidR="00410CC0" w:rsidRPr="00D94B67">
        <w:rPr>
          <w:lang w:val="en-US"/>
        </w:rPr>
        <w:t>. T</w:t>
      </w:r>
      <w:r w:rsidR="00FA6742" w:rsidRPr="00D94B67">
        <w:rPr>
          <w:lang w:val="en-US"/>
        </w:rPr>
        <w:t xml:space="preserve">he described </w:t>
      </w:r>
      <w:r w:rsidR="00B23B09" w:rsidRPr="00D94B67">
        <w:rPr>
          <w:lang w:val="en-US"/>
        </w:rPr>
        <w:t>use cases</w:t>
      </w:r>
      <w:r w:rsidR="00FA6742" w:rsidRPr="00D94B67">
        <w:rPr>
          <w:lang w:val="en-US"/>
        </w:rPr>
        <w:t xml:space="preserve"> </w:t>
      </w:r>
      <w:r w:rsidR="00410CC0" w:rsidRPr="00D94B67">
        <w:rPr>
          <w:lang w:val="en-US"/>
        </w:rPr>
        <w:t>therefore</w:t>
      </w:r>
      <w:r w:rsidR="00B23B09" w:rsidRPr="00D94B67">
        <w:rPr>
          <w:lang w:val="en-US"/>
        </w:rPr>
        <w:t xml:space="preserve"> </w:t>
      </w:r>
      <w:r w:rsidR="00AD791E" w:rsidRPr="00D94B67">
        <w:rPr>
          <w:lang w:val="en-US"/>
        </w:rPr>
        <w:t xml:space="preserve">motivate introduction of a mechanism for additional sync provisioning. </w:t>
      </w:r>
    </w:p>
    <w:p w14:paraId="4E52680F" w14:textId="18659DF1" w:rsidR="00600013" w:rsidRPr="00D94B67" w:rsidRDefault="00B23B09" w:rsidP="00600013">
      <w:pPr>
        <w:rPr>
          <w:lang w:val="en-US"/>
        </w:rPr>
      </w:pPr>
      <w:r w:rsidRPr="00D94B67">
        <w:rPr>
          <w:lang w:val="en-US"/>
        </w:rPr>
        <w:t>It is possible to introduce flexible sync provision</w:t>
      </w:r>
      <w:r w:rsidR="00410CC0" w:rsidRPr="00D94B67">
        <w:rPr>
          <w:lang w:val="en-US"/>
        </w:rPr>
        <w:t>ing</w:t>
      </w:r>
      <w:r w:rsidRPr="00D94B67">
        <w:rPr>
          <w:lang w:val="en-US"/>
        </w:rPr>
        <w:t xml:space="preserve"> approaches that build upon the established SSB framework</w:t>
      </w:r>
      <w:r w:rsidR="00410CC0" w:rsidRPr="00D94B67">
        <w:rPr>
          <w:lang w:val="en-US"/>
        </w:rPr>
        <w:t>,</w:t>
      </w:r>
      <w:r w:rsidRPr="00D94B67">
        <w:rPr>
          <w:lang w:val="en-US"/>
        </w:rPr>
        <w:t xml:space="preserve"> avoid</w:t>
      </w:r>
      <w:r w:rsidR="00410CC0" w:rsidRPr="00D94B67">
        <w:rPr>
          <w:lang w:val="en-US"/>
        </w:rPr>
        <w:t>ing</w:t>
      </w:r>
      <w:r w:rsidRPr="00D94B67">
        <w:rPr>
          <w:lang w:val="en-US"/>
        </w:rPr>
        <w:t xml:space="preserve"> the need for </w:t>
      </w:r>
      <w:r w:rsidR="00410CC0" w:rsidRPr="00D94B67">
        <w:rPr>
          <w:lang w:val="en-US"/>
        </w:rPr>
        <w:t xml:space="preserve">introducing </w:t>
      </w:r>
      <w:r w:rsidRPr="00D94B67">
        <w:rPr>
          <w:lang w:val="en-US"/>
        </w:rPr>
        <w:t>additional physical signals.</w:t>
      </w:r>
      <w:r w:rsidR="00600013" w:rsidRPr="00D94B67">
        <w:rPr>
          <w:lang w:val="en-US"/>
        </w:rPr>
        <w:t xml:space="preserve"> The UE can </w:t>
      </w:r>
      <w:r w:rsidR="00410CC0" w:rsidRPr="00D94B67">
        <w:rPr>
          <w:lang w:val="en-US"/>
        </w:rPr>
        <w:t xml:space="preserve">then </w:t>
      </w:r>
      <w:r w:rsidR="00600013" w:rsidRPr="00D94B67">
        <w:rPr>
          <w:lang w:val="en-US"/>
        </w:rPr>
        <w:t>use the PSS/SSS receiver structure designed for SSB reception for detecting the additional sync as well.</w:t>
      </w:r>
    </w:p>
    <w:p w14:paraId="4A6EF5F8" w14:textId="622FFDA8" w:rsidR="00600013" w:rsidRPr="00D94B67" w:rsidRDefault="00600013" w:rsidP="00600013">
      <w:pPr>
        <w:pStyle w:val="Observation"/>
        <w:numPr>
          <w:ilvl w:val="0"/>
          <w:numId w:val="28"/>
        </w:numPr>
        <w:rPr>
          <w:lang w:val="en-US"/>
        </w:rPr>
      </w:pPr>
      <w:bookmarkStart w:id="84" w:name="_Toc484684183"/>
      <w:bookmarkStart w:id="85" w:name="_Toc484684359"/>
      <w:bookmarkStart w:id="86" w:name="_Toc484702642"/>
      <w:bookmarkStart w:id="87" w:name="_Toc484770623"/>
      <w:bookmarkStart w:id="88" w:name="_Toc485117319"/>
      <w:bookmarkStart w:id="89" w:name="_Toc485122761"/>
      <w:bookmarkStart w:id="90" w:name="_Toc485148417"/>
      <w:bookmarkStart w:id="91" w:name="_Toc485294693"/>
      <w:bookmarkStart w:id="92" w:name="_Toc485407861"/>
      <w:bookmarkStart w:id="93" w:name="_Toc492598285"/>
      <w:bookmarkStart w:id="94" w:name="_Toc492598321"/>
      <w:bookmarkStart w:id="95" w:name="_Toc492629156"/>
      <w:bookmarkStart w:id="96" w:name="_Toc492631151"/>
      <w:bookmarkStart w:id="97" w:name="_Toc492915167"/>
      <w:bookmarkStart w:id="98" w:name="_Toc494198308"/>
      <w:bookmarkStart w:id="99" w:name="_Toc494199976"/>
      <w:bookmarkStart w:id="100" w:name="_Toc494199988"/>
      <w:bookmarkStart w:id="101" w:name="_Toc494200028"/>
      <w:bookmarkStart w:id="102" w:name="_Toc494200036"/>
      <w:bookmarkStart w:id="103" w:name="_Toc494200096"/>
      <w:bookmarkStart w:id="104" w:name="_Toc494716916"/>
      <w:bookmarkStart w:id="105" w:name="_Toc494746964"/>
      <w:bookmarkStart w:id="106" w:name="_Toc498673318"/>
      <w:bookmarkStart w:id="107" w:name="_Toc498721272"/>
      <w:r w:rsidRPr="00D94B67">
        <w:rPr>
          <w:lang w:val="en-US"/>
        </w:rPr>
        <w:t>An additional sync signal provision mechanism building on the established SSB structure will b</w:t>
      </w:r>
      <w:bookmarkEnd w:id="84"/>
      <w:bookmarkEnd w:id="85"/>
      <w:bookmarkEnd w:id="86"/>
      <w:bookmarkEnd w:id="87"/>
      <w:bookmarkEnd w:id="88"/>
      <w:r w:rsidRPr="00D94B67">
        <w:rPr>
          <w:lang w:val="en-US"/>
        </w:rPr>
        <w:t>e utilized by the UE by reusing existing receiver structures.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29B53E4" w14:textId="11330D16" w:rsidR="00B23B09" w:rsidRPr="00D94B67" w:rsidRDefault="00B23B09" w:rsidP="00A4298E">
      <w:pPr>
        <w:rPr>
          <w:lang w:val="en-US"/>
        </w:rPr>
      </w:pPr>
      <w:r w:rsidRPr="00D94B67">
        <w:rPr>
          <w:lang w:val="en-US"/>
        </w:rPr>
        <w:t>In one such approach, the NW can t</w:t>
      </w:r>
      <w:r w:rsidRPr="00D94B67">
        <w:rPr>
          <w:rFonts w:eastAsia="Times New Roman"/>
          <w:lang w:val="en-US"/>
        </w:rPr>
        <w:t>ransmit one or more SSB</w:t>
      </w:r>
      <w:r w:rsidR="001B5E94">
        <w:rPr>
          <w:rFonts w:eastAsia="Times New Roman"/>
          <w:lang w:val="en-US"/>
        </w:rPr>
        <w:t xml:space="preserve">s </w:t>
      </w:r>
      <w:r w:rsidRPr="00D94B67">
        <w:rPr>
          <w:rFonts w:eastAsia="Times New Roman"/>
          <w:lang w:val="en-US"/>
        </w:rPr>
        <w:t xml:space="preserve">as a wide-beam or cell-covering transmissions that are QCL (i.e. can be used as the sync reference) for access-related signals (RMSI, RAR, paging, etc.) while </w:t>
      </w:r>
      <w:r w:rsidR="001B5E94">
        <w:rPr>
          <w:rFonts w:eastAsia="Times New Roman"/>
          <w:lang w:val="en-US"/>
        </w:rPr>
        <w:t>other SSBs (e.g. off the cell search grid)</w:t>
      </w:r>
      <w:r w:rsidRPr="00D94B67">
        <w:rPr>
          <w:rFonts w:eastAsia="Times New Roman"/>
          <w:lang w:val="en-US"/>
        </w:rPr>
        <w:t xml:space="preserve"> can be </w:t>
      </w:r>
      <w:r w:rsidR="00385C20">
        <w:rPr>
          <w:rFonts w:eastAsia="Times New Roman"/>
          <w:lang w:val="en-US"/>
        </w:rPr>
        <w:t xml:space="preserve">more </w:t>
      </w:r>
      <w:r w:rsidRPr="00D94B67">
        <w:rPr>
          <w:rFonts w:eastAsia="Times New Roman"/>
          <w:lang w:val="en-US"/>
        </w:rPr>
        <w:t>narrowly beamformed to provide higher-resolution beam direction info during access or to support active mode procedures</w:t>
      </w:r>
      <w:r w:rsidR="00410CC0" w:rsidRPr="00D94B67">
        <w:rPr>
          <w:rFonts w:eastAsia="Times New Roman"/>
          <w:lang w:val="en-US"/>
        </w:rPr>
        <w:t>; they can also be dynamically activated</w:t>
      </w:r>
      <w:r w:rsidRPr="00D94B67">
        <w:rPr>
          <w:rFonts w:eastAsia="Times New Roman"/>
          <w:lang w:val="en-US"/>
        </w:rPr>
        <w:t xml:space="preserve"> and configur</w:t>
      </w:r>
      <w:r w:rsidR="00410CC0" w:rsidRPr="00D94B67">
        <w:rPr>
          <w:rFonts w:eastAsia="Times New Roman"/>
          <w:lang w:val="en-US"/>
        </w:rPr>
        <w:t>ed</w:t>
      </w:r>
      <w:r w:rsidRPr="00D94B67">
        <w:rPr>
          <w:rFonts w:eastAsia="Times New Roman"/>
          <w:lang w:val="en-US"/>
        </w:rPr>
        <w:t xml:space="preserve">. This is possible since </w:t>
      </w:r>
      <w:r w:rsidR="002D2C08" w:rsidRPr="00D94B67">
        <w:rPr>
          <w:lang w:val="en-US"/>
        </w:rPr>
        <w:t xml:space="preserve">existing agreements allow </w:t>
      </w:r>
      <w:r w:rsidRPr="00D94B67">
        <w:rPr>
          <w:lang w:val="en-US"/>
        </w:rPr>
        <w:t xml:space="preserve">the NW </w:t>
      </w:r>
      <w:r w:rsidR="002D2C08" w:rsidRPr="00D94B67">
        <w:rPr>
          <w:lang w:val="en-US"/>
        </w:rPr>
        <w:t>to flexibly configure</w:t>
      </w:r>
      <w:r w:rsidRPr="00D94B67">
        <w:rPr>
          <w:lang w:val="en-US"/>
        </w:rPr>
        <w:t xml:space="preserve"> SSB transmissions for the different sweep time indices</w:t>
      </w:r>
      <w:r w:rsidR="00410CC0" w:rsidRPr="00D94B67">
        <w:rPr>
          <w:lang w:val="en-US"/>
        </w:rPr>
        <w:t xml:space="preserve"> </w:t>
      </w:r>
      <w:r w:rsidR="002D2C08" w:rsidRPr="00D94B67">
        <w:rPr>
          <w:lang w:val="en-US"/>
        </w:rPr>
        <w:t xml:space="preserve">– </w:t>
      </w:r>
      <w:r w:rsidR="00410CC0" w:rsidRPr="00D94B67">
        <w:rPr>
          <w:lang w:val="en-US"/>
        </w:rPr>
        <w:t>it is not necessary to use the</w:t>
      </w:r>
      <w:r w:rsidR="002D2C08" w:rsidRPr="00D94B67">
        <w:rPr>
          <w:lang w:val="en-US"/>
        </w:rPr>
        <w:t xml:space="preserve"> </w:t>
      </w:r>
      <w:r w:rsidRPr="00D94B67">
        <w:rPr>
          <w:lang w:val="en-US"/>
        </w:rPr>
        <w:t>same beam width or</w:t>
      </w:r>
      <w:r w:rsidR="002D2C08" w:rsidRPr="00D94B67">
        <w:rPr>
          <w:lang w:val="en-US"/>
        </w:rPr>
        <w:t xml:space="preserve"> power</w:t>
      </w:r>
      <w:r w:rsidR="00410CC0" w:rsidRPr="00D94B67">
        <w:rPr>
          <w:lang w:val="en-US"/>
        </w:rPr>
        <w:t xml:space="preserve"> for all transmissions</w:t>
      </w:r>
      <w:r w:rsidR="002D2C08" w:rsidRPr="00D94B67">
        <w:rPr>
          <w:lang w:val="en-US"/>
        </w:rPr>
        <w:t>, or contiguous directions.</w:t>
      </w:r>
    </w:p>
    <w:p w14:paraId="088AEC05" w14:textId="32F85678" w:rsidR="00CA11B4" w:rsidRPr="00D94B67" w:rsidRDefault="00CA11B4" w:rsidP="00A4298E">
      <w:pPr>
        <w:rPr>
          <w:lang w:val="en-US"/>
        </w:rPr>
      </w:pPr>
      <w:r w:rsidRPr="00D94B67">
        <w:rPr>
          <w:lang w:val="en-US"/>
        </w:rPr>
        <w:t xml:space="preserve">One </w:t>
      </w:r>
      <w:r w:rsidR="00C92428" w:rsidRPr="00D94B67">
        <w:rPr>
          <w:lang w:val="en-US"/>
        </w:rPr>
        <w:t>possible deployment</w:t>
      </w:r>
      <w:r w:rsidRPr="00D94B67">
        <w:rPr>
          <w:lang w:val="en-US"/>
        </w:rPr>
        <w:t xml:space="preserve"> is depicted in Figure 1. In this example, the idle mode functions are handled by SSB0 which has an omni-coverage (blue) while the SS Blocks SSB1, SSB2, and SSB3 are transmitted with sector wide beams and handle active mode related functions. Note that different nodes (base stations, gNBs) constitute different cells in this example and hence have different PCIs (PCI1, PCI2, PCI3, …).</w:t>
      </w:r>
    </w:p>
    <w:p w14:paraId="40D663FC" w14:textId="56738593" w:rsidR="00CA11B4" w:rsidRDefault="00CA11B4" w:rsidP="00CA11B4">
      <w:pPr>
        <w:pStyle w:val="BodyText"/>
        <w:rPr>
          <w:rStyle w:val="IvDbodytextChar"/>
        </w:rPr>
      </w:pPr>
    </w:p>
    <w:p w14:paraId="7BC68446" w14:textId="77777777" w:rsidR="00CA11B4" w:rsidRDefault="00CA11B4" w:rsidP="00CA11B4">
      <w:pPr>
        <w:pStyle w:val="BodyText"/>
        <w:keepNext/>
        <w:jc w:val="center"/>
      </w:pPr>
      <w:r>
        <w:rPr>
          <w:noProof/>
        </w:rPr>
        <w:lastRenderedPageBreak/>
        <w:drawing>
          <wp:inline distT="0" distB="0" distL="0" distR="0" wp14:anchorId="21368B72" wp14:editId="449064D0">
            <wp:extent cx="5450205" cy="16884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50205" cy="1688465"/>
                    </a:xfrm>
                    <a:prstGeom prst="rect">
                      <a:avLst/>
                    </a:prstGeom>
                    <a:noFill/>
                  </pic:spPr>
                </pic:pic>
              </a:graphicData>
            </a:graphic>
          </wp:inline>
        </w:drawing>
      </w:r>
    </w:p>
    <w:p w14:paraId="09CD75D5" w14:textId="2F7741B2" w:rsidR="00CA11B4" w:rsidRPr="00D94B67" w:rsidRDefault="00CA11B4" w:rsidP="00CA11B4">
      <w:pPr>
        <w:pStyle w:val="Caption"/>
        <w:rPr>
          <w:lang w:val="en-US"/>
        </w:rPr>
      </w:pPr>
      <w:bookmarkStart w:id="108" w:name="_Ref493669226"/>
      <w:r w:rsidRPr="00D94B67">
        <w:rPr>
          <w:lang w:val="en-US"/>
        </w:rPr>
        <w:t xml:space="preserve">Figure </w:t>
      </w:r>
      <w:r>
        <w:fldChar w:fldCharType="begin"/>
      </w:r>
      <w:r w:rsidRPr="00D94B67">
        <w:rPr>
          <w:lang w:val="en-US"/>
        </w:rPr>
        <w:instrText xml:space="preserve"> SEQ Figure \* ARABIC </w:instrText>
      </w:r>
      <w:r>
        <w:fldChar w:fldCharType="separate"/>
      </w:r>
      <w:r w:rsidRPr="00D94B67">
        <w:rPr>
          <w:noProof/>
          <w:lang w:val="en-US"/>
        </w:rPr>
        <w:t>1</w:t>
      </w:r>
      <w:r>
        <w:rPr>
          <w:noProof/>
        </w:rPr>
        <w:fldChar w:fldCharType="end"/>
      </w:r>
      <w:bookmarkEnd w:id="108"/>
      <w:r w:rsidRPr="00D94B67">
        <w:rPr>
          <w:lang w:val="en-US"/>
        </w:rPr>
        <w:t xml:space="preserve">: </w:t>
      </w:r>
      <w:r w:rsidR="008C5DC2" w:rsidRPr="00D94B67">
        <w:rPr>
          <w:lang w:val="en-US"/>
        </w:rPr>
        <w:t>E</w:t>
      </w:r>
      <w:r w:rsidRPr="00D94B67">
        <w:rPr>
          <w:lang w:val="en-US"/>
        </w:rPr>
        <w:t xml:space="preserve">xample </w:t>
      </w:r>
      <w:r w:rsidR="008C5DC2" w:rsidRPr="00D94B67">
        <w:rPr>
          <w:lang w:val="en-US"/>
        </w:rPr>
        <w:t>low-</w:t>
      </w:r>
      <w:r w:rsidRPr="00D94B67">
        <w:rPr>
          <w:lang w:val="en-US"/>
        </w:rPr>
        <w:t xml:space="preserve">frequencies (&lt;3GHz) </w:t>
      </w:r>
      <w:r w:rsidR="008C5DC2" w:rsidRPr="00D94B67">
        <w:rPr>
          <w:lang w:val="en-US"/>
        </w:rPr>
        <w:t xml:space="preserve">deployment </w:t>
      </w:r>
      <w:r w:rsidRPr="00D94B67">
        <w:rPr>
          <w:lang w:val="en-US"/>
        </w:rPr>
        <w:t xml:space="preserve">with </w:t>
      </w:r>
      <w:r w:rsidRPr="00D94B67">
        <w:rPr>
          <w:i/>
          <w:iCs/>
          <w:lang w:val="en-US"/>
        </w:rPr>
        <w:t>L</w:t>
      </w:r>
      <w:r w:rsidRPr="00D94B67">
        <w:rPr>
          <w:lang w:val="en-US"/>
        </w:rPr>
        <w:t>=4 SS Blocks. 3-sector site with same PCI.</w:t>
      </w:r>
    </w:p>
    <w:p w14:paraId="2A2E1E5C" w14:textId="0B40CADA" w:rsidR="00CA11B4" w:rsidRPr="00D94B67" w:rsidRDefault="00CA11B4" w:rsidP="00CA11B4">
      <w:pPr>
        <w:pStyle w:val="BodyText"/>
        <w:rPr>
          <w:lang w:val="en-US"/>
        </w:rPr>
      </w:pPr>
      <w:r w:rsidRPr="00D94B67">
        <w:rPr>
          <w:lang w:val="en-US"/>
        </w:rPr>
        <w:t xml:space="preserve">In </w:t>
      </w:r>
      <w:r>
        <w:fldChar w:fldCharType="begin"/>
      </w:r>
      <w:r w:rsidRPr="00D94B67">
        <w:rPr>
          <w:lang w:val="en-US"/>
        </w:rPr>
        <w:instrText xml:space="preserve"> REF _Ref493669511 \h </w:instrText>
      </w:r>
      <w:r>
        <w:fldChar w:fldCharType="separate"/>
      </w:r>
      <w:r w:rsidRPr="00D94B67">
        <w:rPr>
          <w:lang w:val="en-US"/>
        </w:rPr>
        <w:t xml:space="preserve">Figure </w:t>
      </w:r>
      <w:r w:rsidRPr="00D94B67">
        <w:rPr>
          <w:noProof/>
          <w:lang w:val="en-US"/>
        </w:rPr>
        <w:t>2</w:t>
      </w:r>
      <w:r>
        <w:fldChar w:fldCharType="end"/>
      </w:r>
      <w:r w:rsidRPr="00D94B67">
        <w:rPr>
          <w:lang w:val="en-US"/>
        </w:rPr>
        <w:t xml:space="preserve"> we depict an example scenario where 7 different nodes (TRPs) are assigned with one SS Block index each (red circles). In addition, the 7 TRPs in the cell jointly transmit an additional SSB0 (e.g. in a single frequency network (SFN) joint synchronized transmission fashion). In this example, groups of 7 TRPs constitute one cell (as seen from the UE) and the network consist of several such cells with different PCIs (PCI1, PCI2, PCI3, …). </w:t>
      </w:r>
    </w:p>
    <w:p w14:paraId="6F74F902" w14:textId="77777777" w:rsidR="00CA11B4" w:rsidRDefault="00CA11B4" w:rsidP="00CA11B4">
      <w:pPr>
        <w:pStyle w:val="BodyText"/>
        <w:keepNext/>
        <w:jc w:val="center"/>
      </w:pPr>
      <w:r>
        <w:rPr>
          <w:noProof/>
        </w:rPr>
        <w:drawing>
          <wp:inline distT="0" distB="0" distL="0" distR="0" wp14:anchorId="72785594" wp14:editId="0D77FCB0">
            <wp:extent cx="4953635" cy="24055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61364" cy="2409297"/>
                    </a:xfrm>
                    <a:prstGeom prst="rect">
                      <a:avLst/>
                    </a:prstGeom>
                    <a:noFill/>
                  </pic:spPr>
                </pic:pic>
              </a:graphicData>
            </a:graphic>
          </wp:inline>
        </w:drawing>
      </w:r>
    </w:p>
    <w:p w14:paraId="7581AED2" w14:textId="59547590" w:rsidR="00CA11B4" w:rsidRPr="00D94B67" w:rsidRDefault="00CA11B4" w:rsidP="00CA11B4">
      <w:pPr>
        <w:pStyle w:val="Caption"/>
        <w:rPr>
          <w:lang w:val="en-US"/>
        </w:rPr>
      </w:pPr>
      <w:bookmarkStart w:id="109" w:name="_Ref493669511"/>
      <w:r w:rsidRPr="00D94B67">
        <w:rPr>
          <w:lang w:val="en-US"/>
        </w:rPr>
        <w:t xml:space="preserve">Figure </w:t>
      </w:r>
      <w:r>
        <w:fldChar w:fldCharType="begin"/>
      </w:r>
      <w:r w:rsidRPr="00D94B67">
        <w:rPr>
          <w:lang w:val="en-US"/>
        </w:rPr>
        <w:instrText xml:space="preserve"> SEQ Figure \* ARABIC </w:instrText>
      </w:r>
      <w:r>
        <w:fldChar w:fldCharType="separate"/>
      </w:r>
      <w:r w:rsidRPr="00D94B67">
        <w:rPr>
          <w:noProof/>
          <w:lang w:val="en-US"/>
        </w:rPr>
        <w:t>2</w:t>
      </w:r>
      <w:r>
        <w:rPr>
          <w:noProof/>
        </w:rPr>
        <w:fldChar w:fldCharType="end"/>
      </w:r>
      <w:bookmarkEnd w:id="109"/>
      <w:r w:rsidRPr="00D94B67">
        <w:rPr>
          <w:lang w:val="en-US"/>
        </w:rPr>
        <w:t xml:space="preserve">: Example </w:t>
      </w:r>
      <w:r w:rsidR="008C5DC2" w:rsidRPr="00D94B67">
        <w:rPr>
          <w:lang w:val="en-US"/>
        </w:rPr>
        <w:t>medium-</w:t>
      </w:r>
      <w:r w:rsidRPr="00D94B67">
        <w:rPr>
          <w:lang w:val="en-US"/>
        </w:rPr>
        <w:t xml:space="preserve">frequency </w:t>
      </w:r>
      <w:r w:rsidR="008C5DC2" w:rsidRPr="00D94B67">
        <w:rPr>
          <w:lang w:val="en-US"/>
        </w:rPr>
        <w:t>deployment</w:t>
      </w:r>
      <w:r w:rsidRPr="00D94B67">
        <w:rPr>
          <w:lang w:val="en-US"/>
        </w:rPr>
        <w:t xml:space="preserve"> (3-6 GHz) </w:t>
      </w:r>
      <w:r w:rsidRPr="00D94B67">
        <w:rPr>
          <w:i/>
          <w:iCs/>
          <w:lang w:val="en-US"/>
        </w:rPr>
        <w:t>L</w:t>
      </w:r>
      <w:r w:rsidRPr="00D94B67">
        <w:rPr>
          <w:lang w:val="en-US"/>
        </w:rPr>
        <w:t>=8 and 7-TRP cluster with same PCI.</w:t>
      </w:r>
    </w:p>
    <w:p w14:paraId="0B1C9A1D" w14:textId="2300FB03" w:rsidR="00CA11B4" w:rsidRPr="00D94B67" w:rsidRDefault="00CA11B4" w:rsidP="00CA11B4">
      <w:pPr>
        <w:pStyle w:val="BodyText"/>
        <w:rPr>
          <w:lang w:val="en-US"/>
        </w:rPr>
      </w:pPr>
      <w:r w:rsidRPr="00D94B67">
        <w:rPr>
          <w:lang w:val="en-US"/>
        </w:rPr>
        <w:t xml:space="preserve">For high frequency bands, the number of SS Blocks per NR cell can be L=64 and there are a large number of possible ways to utilize those beams in a network deployment. One example is depicted in </w:t>
      </w:r>
      <w:r>
        <w:fldChar w:fldCharType="begin"/>
      </w:r>
      <w:r w:rsidRPr="00D94B67">
        <w:rPr>
          <w:lang w:val="en-US"/>
        </w:rPr>
        <w:instrText xml:space="preserve"> REF _Ref493676514 \h </w:instrText>
      </w:r>
      <w:r>
        <w:fldChar w:fldCharType="separate"/>
      </w:r>
      <w:r w:rsidRPr="00D94B67">
        <w:rPr>
          <w:lang w:val="en-US"/>
        </w:rPr>
        <w:t xml:space="preserve">Figure </w:t>
      </w:r>
      <w:r w:rsidRPr="00D94B67">
        <w:rPr>
          <w:noProof/>
          <w:lang w:val="en-US"/>
        </w:rPr>
        <w:t>3</w:t>
      </w:r>
      <w:r>
        <w:fldChar w:fldCharType="end"/>
      </w:r>
      <w:r w:rsidRPr="00D94B67">
        <w:rPr>
          <w:lang w:val="en-US"/>
        </w:rPr>
        <w:t xml:space="preserve"> showing an indoor system consisting of one radio base station (RBS) with multiple transmission points (TRPs), each TRP associated with one SSB for active mode functionalities. In addition, the TRPs jointly transmit SSB0 for support of one or more idle mode functionalities. </w:t>
      </w:r>
      <w:r w:rsidR="00133BDD" w:rsidRPr="00D94B67">
        <w:rPr>
          <w:lang w:val="en-US"/>
        </w:rPr>
        <w:t xml:space="preserve">This kind of deployment is sometimes referred to as distributed massive MIMO, see e.g. </w:t>
      </w:r>
      <w:r w:rsidR="00133BDD">
        <w:fldChar w:fldCharType="begin"/>
      </w:r>
      <w:r w:rsidR="00133BDD" w:rsidRPr="00D94B67">
        <w:rPr>
          <w:lang w:val="en-US"/>
        </w:rPr>
        <w:instrText xml:space="preserve"> REF _Ref494274705 \r \h </w:instrText>
      </w:r>
      <w:r w:rsidR="00133BDD">
        <w:fldChar w:fldCharType="separate"/>
      </w:r>
      <w:r w:rsidR="00133BDD" w:rsidRPr="00D94B67">
        <w:rPr>
          <w:lang w:val="en-US"/>
        </w:rPr>
        <w:t>[7]</w:t>
      </w:r>
      <w:r w:rsidR="00133BDD">
        <w:fldChar w:fldCharType="end"/>
      </w:r>
      <w:r w:rsidR="00133BDD" w:rsidRPr="00D94B67">
        <w:rPr>
          <w:lang w:val="en-US"/>
        </w:rPr>
        <w:t xml:space="preserve">. </w:t>
      </w:r>
      <w:r w:rsidRPr="00D94B67">
        <w:rPr>
          <w:lang w:val="en-US"/>
        </w:rPr>
        <w:t xml:space="preserve">An alternative way to use 64 beams is to assign 1 PCI to a group of 7 TRPs and then assign 7 SS Block indexes to each of the TRPs. In combination with a jointly transmitted SSB0 for some idle mode functionality this would add up to 9x7+1 = 64 beams. </w:t>
      </w:r>
    </w:p>
    <w:p w14:paraId="63510CB2" w14:textId="77777777" w:rsidR="00CA11B4" w:rsidRDefault="00CA11B4" w:rsidP="00CA11B4">
      <w:pPr>
        <w:pStyle w:val="BodyText"/>
        <w:keepNext/>
      </w:pPr>
      <w:r>
        <w:rPr>
          <w:noProof/>
        </w:rPr>
        <w:lastRenderedPageBreak/>
        <w:drawing>
          <wp:inline distT="0" distB="0" distL="0" distR="0" wp14:anchorId="4F25B165" wp14:editId="74135823">
            <wp:extent cx="5571756" cy="2219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81791" cy="2223322"/>
                    </a:xfrm>
                    <a:prstGeom prst="rect">
                      <a:avLst/>
                    </a:prstGeom>
                    <a:noFill/>
                  </pic:spPr>
                </pic:pic>
              </a:graphicData>
            </a:graphic>
          </wp:inline>
        </w:drawing>
      </w:r>
    </w:p>
    <w:p w14:paraId="3760F16A" w14:textId="59DFC562" w:rsidR="00CA11B4" w:rsidRPr="00D94B67" w:rsidRDefault="00CA11B4" w:rsidP="00CA11B4">
      <w:pPr>
        <w:pStyle w:val="Caption"/>
        <w:rPr>
          <w:lang w:val="en-US"/>
        </w:rPr>
      </w:pPr>
      <w:bookmarkStart w:id="110" w:name="_Ref493676514"/>
      <w:r w:rsidRPr="00D94B67">
        <w:rPr>
          <w:lang w:val="en-US"/>
        </w:rPr>
        <w:t xml:space="preserve">Figure </w:t>
      </w:r>
      <w:r>
        <w:fldChar w:fldCharType="begin"/>
      </w:r>
      <w:r w:rsidRPr="00D94B67">
        <w:rPr>
          <w:lang w:val="en-US"/>
        </w:rPr>
        <w:instrText xml:space="preserve"> SEQ Figure \* ARABIC </w:instrText>
      </w:r>
      <w:r>
        <w:fldChar w:fldCharType="separate"/>
      </w:r>
      <w:r w:rsidRPr="00D94B67">
        <w:rPr>
          <w:noProof/>
          <w:lang w:val="en-US"/>
        </w:rPr>
        <w:t>3</w:t>
      </w:r>
      <w:r>
        <w:rPr>
          <w:noProof/>
        </w:rPr>
        <w:fldChar w:fldCharType="end"/>
      </w:r>
      <w:bookmarkEnd w:id="110"/>
      <w:r w:rsidRPr="00D94B67">
        <w:rPr>
          <w:lang w:val="en-US"/>
        </w:rPr>
        <w:t xml:space="preserve">: Example </w:t>
      </w:r>
      <w:r w:rsidR="008C5DC2" w:rsidRPr="00D94B67">
        <w:rPr>
          <w:lang w:val="en-US"/>
        </w:rPr>
        <w:t>high-</w:t>
      </w:r>
      <w:r w:rsidRPr="00D94B67">
        <w:rPr>
          <w:lang w:val="en-US"/>
        </w:rPr>
        <w:t xml:space="preserve">frequency deployment (above 6GHz) </w:t>
      </w:r>
      <w:r w:rsidRPr="00D94B67">
        <w:rPr>
          <w:i/>
          <w:iCs/>
          <w:lang w:val="en-US"/>
        </w:rPr>
        <w:t>L</w:t>
      </w:r>
      <w:r w:rsidRPr="00D94B67">
        <w:rPr>
          <w:lang w:val="en-US"/>
        </w:rPr>
        <w:t>=64:</w:t>
      </w:r>
      <w:r w:rsidRPr="00D94B67">
        <w:rPr>
          <w:lang w:val="en-US"/>
        </w:rPr>
        <w:br/>
        <w:t>e.g. building-covering Indoor deployment.</w:t>
      </w:r>
    </w:p>
    <w:p w14:paraId="1D1A46CD" w14:textId="77777777" w:rsidR="00CA11B4" w:rsidRPr="00D94B67" w:rsidRDefault="00CA11B4" w:rsidP="00CA11B4">
      <w:pPr>
        <w:rPr>
          <w:lang w:val="en-US"/>
        </w:rPr>
      </w:pPr>
      <w:r w:rsidRPr="00D94B67">
        <w:rPr>
          <w:lang w:val="en-US"/>
        </w:rPr>
        <w:t xml:space="preserve">Time multiplexing of SS Blocks and RMSI transmissions is suitable for scenarios when the system bandwidth is limited. This is exemplified in </w:t>
      </w:r>
      <w:r>
        <w:fldChar w:fldCharType="begin"/>
      </w:r>
      <w:r w:rsidRPr="00D94B67">
        <w:rPr>
          <w:lang w:val="en-US"/>
        </w:rPr>
        <w:instrText xml:space="preserve"> REF _Ref493675715 \h </w:instrText>
      </w:r>
      <w:r>
        <w:fldChar w:fldCharType="separate"/>
      </w:r>
      <w:r w:rsidRPr="00D94B67">
        <w:rPr>
          <w:lang w:val="en-US"/>
        </w:rPr>
        <w:t xml:space="preserve">Figure </w:t>
      </w:r>
      <w:r w:rsidRPr="00D94B67">
        <w:rPr>
          <w:noProof/>
          <w:lang w:val="en-US"/>
        </w:rPr>
        <w:t>4</w:t>
      </w:r>
      <w:r>
        <w:fldChar w:fldCharType="end"/>
      </w:r>
      <w:r w:rsidRPr="00D94B67">
        <w:rPr>
          <w:lang w:val="en-US"/>
        </w:rPr>
        <w:t xml:space="preserve"> where one sector contains one wide beam (SSB0) and 3 narrow beams (SSB1-SSB3). By transmitting the RMSI, OSI and/or paging only in the wide beam and not in narrow beams corresponding to the SSB1-SSB3 we can reduce the amount of spatial repetition required.</w:t>
      </w:r>
    </w:p>
    <w:p w14:paraId="141AF167" w14:textId="77777777" w:rsidR="00CA11B4" w:rsidRDefault="00CA11B4" w:rsidP="00CA11B4">
      <w:pPr>
        <w:pStyle w:val="Caption"/>
        <w:keepNext/>
      </w:pPr>
      <w:r>
        <w:rPr>
          <w:noProof/>
        </w:rPr>
        <w:drawing>
          <wp:inline distT="0" distB="0" distL="0" distR="0" wp14:anchorId="25293EDD" wp14:editId="3A5D5969">
            <wp:extent cx="5813163" cy="205861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34362" cy="2066126"/>
                    </a:xfrm>
                    <a:prstGeom prst="rect">
                      <a:avLst/>
                    </a:prstGeom>
                    <a:noFill/>
                  </pic:spPr>
                </pic:pic>
              </a:graphicData>
            </a:graphic>
          </wp:inline>
        </w:drawing>
      </w:r>
    </w:p>
    <w:p w14:paraId="68ABC878" w14:textId="2F82D3B9" w:rsidR="00CA11B4" w:rsidRPr="00D94B67" w:rsidRDefault="00CA11B4" w:rsidP="00CA11B4">
      <w:pPr>
        <w:pStyle w:val="Caption"/>
        <w:rPr>
          <w:lang w:val="en-US"/>
        </w:rPr>
      </w:pPr>
      <w:bookmarkStart w:id="111" w:name="_Ref493675715"/>
      <w:r w:rsidRPr="00D94B67">
        <w:rPr>
          <w:lang w:val="en-US"/>
        </w:rPr>
        <w:t xml:space="preserve">Figure </w:t>
      </w:r>
      <w:r>
        <w:fldChar w:fldCharType="begin"/>
      </w:r>
      <w:r w:rsidRPr="00D94B67">
        <w:rPr>
          <w:lang w:val="en-US"/>
        </w:rPr>
        <w:instrText xml:space="preserve"> SEQ Figure \* ARABIC </w:instrText>
      </w:r>
      <w:r>
        <w:fldChar w:fldCharType="separate"/>
      </w:r>
      <w:r w:rsidRPr="00D94B67">
        <w:rPr>
          <w:noProof/>
          <w:lang w:val="en-US"/>
        </w:rPr>
        <w:t>4</w:t>
      </w:r>
      <w:r>
        <w:rPr>
          <w:noProof/>
        </w:rPr>
        <w:fldChar w:fldCharType="end"/>
      </w:r>
      <w:bookmarkEnd w:id="111"/>
      <w:r w:rsidRPr="00D94B67">
        <w:rPr>
          <w:lang w:val="en-US"/>
        </w:rPr>
        <w:t xml:space="preserve">: Example </w:t>
      </w:r>
      <w:r w:rsidR="008C5DC2" w:rsidRPr="00D94B67">
        <w:rPr>
          <w:lang w:val="en-US"/>
        </w:rPr>
        <w:t>deployment</w:t>
      </w:r>
      <w:r w:rsidRPr="00D94B67">
        <w:rPr>
          <w:lang w:val="en-US"/>
        </w:rPr>
        <w:t xml:space="preserve"> in narrow bandwidth.</w:t>
      </w:r>
    </w:p>
    <w:p w14:paraId="0DD6FADD" w14:textId="77298409" w:rsidR="00D345A0" w:rsidRPr="00D94B67" w:rsidRDefault="001B5E94" w:rsidP="00C92428">
      <w:pPr>
        <w:rPr>
          <w:lang w:val="en-US"/>
        </w:rPr>
      </w:pPr>
      <w:r>
        <w:rPr>
          <w:lang w:val="en-US"/>
        </w:rPr>
        <w:t>W</w:t>
      </w:r>
      <w:r w:rsidR="002D2C08" w:rsidRPr="00D94B67">
        <w:rPr>
          <w:lang w:val="en-US"/>
        </w:rPr>
        <w:t>e can utilize the mechanism for configuring off-search-grid SSBs</w:t>
      </w:r>
      <w:r w:rsidR="00E97CB3" w:rsidRPr="00D94B67">
        <w:rPr>
          <w:lang w:val="en-US"/>
        </w:rPr>
        <w:t xml:space="preserve"> </w:t>
      </w:r>
      <w:r w:rsidR="00E97CB3">
        <w:fldChar w:fldCharType="begin"/>
      </w:r>
      <w:r w:rsidR="00E97CB3" w:rsidRPr="00D94B67">
        <w:rPr>
          <w:lang w:val="en-US"/>
        </w:rPr>
        <w:instrText xml:space="preserve"> REF _Ref494717134 \r \h </w:instrText>
      </w:r>
      <w:r w:rsidR="00E97CB3">
        <w:fldChar w:fldCharType="separate"/>
      </w:r>
      <w:r w:rsidR="00E97CB3" w:rsidRPr="00D94B67">
        <w:rPr>
          <w:lang w:val="en-US"/>
        </w:rPr>
        <w:t>[8]</w:t>
      </w:r>
      <w:r w:rsidR="00E97CB3">
        <w:fldChar w:fldCharType="end"/>
      </w:r>
      <w:r w:rsidR="002D2C08" w:rsidRPr="00D94B67">
        <w:rPr>
          <w:lang w:val="en-US"/>
        </w:rPr>
        <w:t xml:space="preserve">. In this approach, </w:t>
      </w:r>
      <w:r w:rsidR="00B23B09" w:rsidRPr="00D94B67">
        <w:rPr>
          <w:lang w:val="en-US"/>
        </w:rPr>
        <w:t>the on-search-grid SSBs may be kept broad and QCL with access signals. In addition, dynamic off-grid (non-cell-defining) SSBs may be employed to support active mode procedures.</w:t>
      </w:r>
      <w:r w:rsidR="00D345A0" w:rsidRPr="00D94B67">
        <w:rPr>
          <w:lang w:val="en-US"/>
        </w:rPr>
        <w:t xml:space="preserve"> In this way, the </w:t>
      </w:r>
      <w:r w:rsidR="00C92428" w:rsidRPr="00D94B67">
        <w:rPr>
          <w:lang w:val="en-US"/>
        </w:rPr>
        <w:t xml:space="preserve">dynamic </w:t>
      </w:r>
      <w:r w:rsidR="00D345A0" w:rsidRPr="00D94B67">
        <w:rPr>
          <w:lang w:val="en-US"/>
        </w:rPr>
        <w:t xml:space="preserve">SSBs become invisible for idle mode UEs. This is depicted in </w:t>
      </w:r>
      <w:r w:rsidR="00D345A0">
        <w:fldChar w:fldCharType="begin"/>
      </w:r>
      <w:r w:rsidR="00D345A0" w:rsidRPr="00D94B67">
        <w:rPr>
          <w:lang w:val="en-US"/>
        </w:rPr>
        <w:instrText xml:space="preserve"> REF _Ref493677079 \h </w:instrText>
      </w:r>
      <w:r w:rsidR="00D345A0">
        <w:fldChar w:fldCharType="separate"/>
      </w:r>
      <w:r w:rsidR="00D345A0" w:rsidRPr="00D94B67">
        <w:rPr>
          <w:lang w:val="en-US"/>
        </w:rPr>
        <w:t xml:space="preserve">Figure </w:t>
      </w:r>
      <w:r w:rsidR="00D345A0" w:rsidRPr="00D94B67">
        <w:rPr>
          <w:noProof/>
          <w:lang w:val="en-US"/>
        </w:rPr>
        <w:t>5</w:t>
      </w:r>
      <w:r w:rsidR="00D345A0">
        <w:fldChar w:fldCharType="end"/>
      </w:r>
      <w:r w:rsidR="00D345A0" w:rsidRPr="00D94B67">
        <w:rPr>
          <w:lang w:val="en-US"/>
        </w:rPr>
        <w:t xml:space="preserve">. </w:t>
      </w:r>
      <w:r w:rsidR="008C5DC2" w:rsidRPr="00D94B67">
        <w:rPr>
          <w:lang w:val="en-US"/>
        </w:rPr>
        <w:t>Alternatively</w:t>
      </w:r>
      <w:r w:rsidR="00D345A0" w:rsidRPr="00D94B67">
        <w:rPr>
          <w:lang w:val="en-US"/>
        </w:rPr>
        <w:t>, the off-grid SSBs may omit transmitting some information that is required only for system access (e.g. the PBCH) and thus do not assist UEs that use these SSBs for sync purposes only.</w:t>
      </w:r>
      <w:r w:rsidR="00410CC0" w:rsidRPr="00D94B67">
        <w:rPr>
          <w:lang w:val="en-US"/>
        </w:rPr>
        <w:t xml:space="preserve"> The off-grid SSBs may be activated dynamically only when signals they are assisting are present and they may be configured with different repetition periods compared to the default SSBs.</w:t>
      </w:r>
    </w:p>
    <w:p w14:paraId="0B629BBF" w14:textId="77777777" w:rsidR="00D345A0" w:rsidRDefault="00D345A0" w:rsidP="00D345A0">
      <w:pPr>
        <w:pStyle w:val="BodyText"/>
        <w:keepNext/>
        <w:jc w:val="center"/>
      </w:pPr>
      <w:r>
        <w:rPr>
          <w:noProof/>
        </w:rPr>
        <w:lastRenderedPageBreak/>
        <w:drawing>
          <wp:inline distT="0" distB="0" distL="0" distR="0" wp14:anchorId="7F3CD5AD" wp14:editId="5BDE40B6">
            <wp:extent cx="2744307"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8900" cy="2518808"/>
                    </a:xfrm>
                    <a:prstGeom prst="rect">
                      <a:avLst/>
                    </a:prstGeom>
                    <a:noFill/>
                  </pic:spPr>
                </pic:pic>
              </a:graphicData>
            </a:graphic>
          </wp:inline>
        </w:drawing>
      </w:r>
    </w:p>
    <w:p w14:paraId="60FDAF59" w14:textId="402DDBDB" w:rsidR="00D345A0" w:rsidRPr="00D94B67" w:rsidRDefault="00D345A0" w:rsidP="00D345A0">
      <w:pPr>
        <w:pStyle w:val="Caption"/>
        <w:rPr>
          <w:lang w:val="en-US"/>
        </w:rPr>
      </w:pPr>
      <w:bookmarkStart w:id="112" w:name="_Ref493677079"/>
      <w:r w:rsidRPr="00D94B67">
        <w:rPr>
          <w:lang w:val="en-US"/>
        </w:rPr>
        <w:t xml:space="preserve">Figure </w:t>
      </w:r>
      <w:r>
        <w:fldChar w:fldCharType="begin"/>
      </w:r>
      <w:r w:rsidRPr="00D94B67">
        <w:rPr>
          <w:lang w:val="en-US"/>
        </w:rPr>
        <w:instrText xml:space="preserve"> SEQ Figure \* ARABIC </w:instrText>
      </w:r>
      <w:r>
        <w:fldChar w:fldCharType="separate"/>
      </w:r>
      <w:r w:rsidRPr="00D94B67">
        <w:rPr>
          <w:noProof/>
          <w:lang w:val="en-US"/>
        </w:rPr>
        <w:t>5</w:t>
      </w:r>
      <w:r>
        <w:rPr>
          <w:noProof/>
        </w:rPr>
        <w:fldChar w:fldCharType="end"/>
      </w:r>
      <w:bookmarkEnd w:id="112"/>
      <w:r w:rsidRPr="00D94B67">
        <w:rPr>
          <w:lang w:val="en-US"/>
        </w:rPr>
        <w:t xml:space="preserve">: Example </w:t>
      </w:r>
      <w:r w:rsidR="008C5DC2" w:rsidRPr="00D94B67">
        <w:rPr>
          <w:lang w:val="en-US"/>
        </w:rPr>
        <w:t>deployment</w:t>
      </w:r>
      <w:r w:rsidRPr="00D94B67">
        <w:rPr>
          <w:lang w:val="en-US"/>
        </w:rPr>
        <w:t xml:space="preserve"> in wide bandwidth. The leftmost part of </w:t>
      </w:r>
      <w:r>
        <w:fldChar w:fldCharType="begin"/>
      </w:r>
      <w:r w:rsidRPr="00D94B67">
        <w:rPr>
          <w:lang w:val="en-US"/>
        </w:rPr>
        <w:instrText xml:space="preserve"> REF _Ref493675715 \h </w:instrText>
      </w:r>
      <w:r>
        <w:fldChar w:fldCharType="separate"/>
      </w:r>
      <w:r w:rsidRPr="00D94B67">
        <w:rPr>
          <w:lang w:val="en-US"/>
        </w:rPr>
        <w:t xml:space="preserve">Figure </w:t>
      </w:r>
      <w:r w:rsidRPr="00D94B67">
        <w:rPr>
          <w:noProof/>
          <w:lang w:val="en-US"/>
        </w:rPr>
        <w:t>4</w:t>
      </w:r>
      <w:r>
        <w:fldChar w:fldCharType="end"/>
      </w:r>
      <w:r w:rsidRPr="00D94B67">
        <w:rPr>
          <w:lang w:val="en-US"/>
        </w:rPr>
        <w:t xml:space="preserve"> applies also to this scenario.</w:t>
      </w:r>
    </w:p>
    <w:p w14:paraId="770D2FA9" w14:textId="77777777" w:rsidR="00CA11B4" w:rsidRPr="00D94B67" w:rsidRDefault="00CA11B4" w:rsidP="00A4298E">
      <w:pPr>
        <w:rPr>
          <w:lang w:val="en-US"/>
        </w:rPr>
      </w:pPr>
    </w:p>
    <w:p w14:paraId="3F0A12B7" w14:textId="426BE801" w:rsidR="00A4298E" w:rsidRPr="00D94B67" w:rsidRDefault="00A4298E" w:rsidP="00A4298E">
      <w:pPr>
        <w:pStyle w:val="Proposal"/>
        <w:rPr>
          <w:lang w:val="en-US"/>
        </w:rPr>
      </w:pPr>
      <w:bookmarkStart w:id="113" w:name="_Toc494200099"/>
      <w:bookmarkStart w:id="114" w:name="_Toc494716903"/>
      <w:bookmarkStart w:id="115" w:name="_Toc494746966"/>
      <w:bookmarkStart w:id="116" w:name="_Toc498673319"/>
      <w:bookmarkStart w:id="117" w:name="_Toc498721273"/>
      <w:r w:rsidRPr="00D94B67">
        <w:rPr>
          <w:lang w:val="en-US"/>
        </w:rPr>
        <w:t xml:space="preserve">NR should support </w:t>
      </w:r>
      <w:r w:rsidR="005D326A" w:rsidRPr="00D94B67">
        <w:rPr>
          <w:lang w:val="en-US"/>
        </w:rPr>
        <w:t xml:space="preserve">QCL association </w:t>
      </w:r>
      <w:r w:rsidR="004B562F" w:rsidRPr="00D94B67">
        <w:rPr>
          <w:lang w:val="en-US"/>
        </w:rPr>
        <w:t xml:space="preserve">of </w:t>
      </w:r>
      <w:r w:rsidRPr="00D94B67">
        <w:rPr>
          <w:lang w:val="en-US"/>
        </w:rPr>
        <w:t xml:space="preserve">beam management and mobility </w:t>
      </w:r>
      <w:r w:rsidR="005D326A" w:rsidRPr="00D94B67">
        <w:rPr>
          <w:lang w:val="en-US"/>
        </w:rPr>
        <w:t xml:space="preserve">measurement </w:t>
      </w:r>
      <w:r w:rsidRPr="00D94B67">
        <w:rPr>
          <w:lang w:val="en-US"/>
        </w:rPr>
        <w:t>signals</w:t>
      </w:r>
      <w:r w:rsidR="005D326A" w:rsidRPr="00D94B67">
        <w:rPr>
          <w:lang w:val="en-US"/>
        </w:rPr>
        <w:t xml:space="preserve"> </w:t>
      </w:r>
      <w:r w:rsidR="00EE024F" w:rsidRPr="00D94B67">
        <w:rPr>
          <w:lang w:val="en-US"/>
        </w:rPr>
        <w:t xml:space="preserve">with </w:t>
      </w:r>
      <w:r w:rsidR="005D326A" w:rsidRPr="00D94B67">
        <w:rPr>
          <w:lang w:val="en-US"/>
        </w:rPr>
        <w:t>off-grid SSBs</w:t>
      </w:r>
      <w:r w:rsidRPr="00D94B67">
        <w:rPr>
          <w:lang w:val="en-US"/>
        </w:rPr>
        <w:t>.</w:t>
      </w:r>
      <w:bookmarkEnd w:id="113"/>
      <w:bookmarkEnd w:id="114"/>
      <w:bookmarkEnd w:id="115"/>
      <w:bookmarkEnd w:id="116"/>
      <w:bookmarkEnd w:id="117"/>
    </w:p>
    <w:p w14:paraId="47A64FA2" w14:textId="1D4A64B0" w:rsidR="00B23B09" w:rsidRPr="00D94B67" w:rsidRDefault="005D326A" w:rsidP="002E5484">
      <w:pPr>
        <w:rPr>
          <w:lang w:val="en-US"/>
        </w:rPr>
      </w:pPr>
      <w:r w:rsidRPr="00D94B67">
        <w:rPr>
          <w:lang w:val="en-US"/>
        </w:rPr>
        <w:t xml:space="preserve">In order to enable the </w:t>
      </w:r>
      <w:r w:rsidR="00B8460D" w:rsidRPr="00D94B67">
        <w:rPr>
          <w:lang w:val="en-US"/>
        </w:rPr>
        <w:t xml:space="preserve">SSB-based </w:t>
      </w:r>
      <w:r w:rsidRPr="00D94B67">
        <w:rPr>
          <w:lang w:val="en-US"/>
        </w:rPr>
        <w:t xml:space="preserve">additional sync provision </w:t>
      </w:r>
      <w:r w:rsidR="003C00F9" w:rsidRPr="00D94B67">
        <w:rPr>
          <w:lang w:val="en-US"/>
        </w:rPr>
        <w:t>mechanism</w:t>
      </w:r>
      <w:r w:rsidRPr="00D94B67">
        <w:rPr>
          <w:lang w:val="en-US"/>
        </w:rPr>
        <w:t xml:space="preserve">, the relevant QCL relationships and/or the use of off-grid SSBs must be signaled to the UE in order for the UE to configure </w:t>
      </w:r>
      <w:r w:rsidR="00D72E70" w:rsidRPr="00D94B67">
        <w:rPr>
          <w:lang w:val="en-US"/>
        </w:rPr>
        <w:t xml:space="preserve">system access, paging, or measurement </w:t>
      </w:r>
      <w:r w:rsidRPr="00D94B67">
        <w:rPr>
          <w:lang w:val="en-US"/>
        </w:rPr>
        <w:t xml:space="preserve">signal reception </w:t>
      </w:r>
      <w:r w:rsidR="00D72E70" w:rsidRPr="00D94B67">
        <w:rPr>
          <w:lang w:val="en-US"/>
        </w:rPr>
        <w:t>with proper SSB reference and QCL assumptions.</w:t>
      </w:r>
    </w:p>
    <w:p w14:paraId="24E28A4B" w14:textId="77777777" w:rsidR="00D52093" w:rsidRPr="00D94B67" w:rsidRDefault="00D52093" w:rsidP="00D52093">
      <w:pPr>
        <w:rPr>
          <w:lang w:val="en-US"/>
        </w:rPr>
      </w:pPr>
      <w:r w:rsidRPr="00D94B67">
        <w:rPr>
          <w:lang w:val="en-US"/>
        </w:rPr>
        <w:t>For the CSI-RS-based beam management and mobility use cases, the suitable UE receiver configuration with regard to SSB QCL relations can be indicated via RRC signaling. The RRC signaling from the NW thus configures the UE to use appropriate (QCL) SSB instances for relevant CSI-RS reception.  The use of TRS as fine sync support for CSI-RS detection is being discussed; the additional sync SSBs may also be used as a reference for TRS reception.</w:t>
      </w:r>
    </w:p>
    <w:p w14:paraId="21E02828" w14:textId="77777777" w:rsidR="00D52093" w:rsidRPr="00D94B67" w:rsidRDefault="00D52093" w:rsidP="00D52093">
      <w:pPr>
        <w:pStyle w:val="Proposal"/>
        <w:rPr>
          <w:lang w:val="en-US"/>
        </w:rPr>
      </w:pPr>
      <w:bookmarkStart w:id="118" w:name="_Toc498673320"/>
      <w:bookmarkStart w:id="119" w:name="_Toc498721274"/>
      <w:r w:rsidRPr="00D94B67">
        <w:rPr>
          <w:lang w:val="en-US"/>
        </w:rPr>
        <w:t>RRC signaling is used to indicate to the UE which time indices in the default SSB sweep and/or which off-grid SSBs should be used as QCL reference for CSI-RS and/or TRS reception for beam management and/or active mode mobility measurements.</w:t>
      </w:r>
      <w:bookmarkEnd w:id="118"/>
      <w:bookmarkEnd w:id="119"/>
    </w:p>
    <w:p w14:paraId="2F7146E5" w14:textId="77777777" w:rsidR="00D52093" w:rsidRPr="00D94B67" w:rsidRDefault="00D52093" w:rsidP="00D52093">
      <w:pPr>
        <w:pStyle w:val="Proposal"/>
        <w:rPr>
          <w:lang w:val="en-US"/>
        </w:rPr>
      </w:pPr>
      <w:bookmarkStart w:id="120" w:name="_Toc498673321"/>
      <w:bookmarkStart w:id="121" w:name="_Toc498721275"/>
      <w:r w:rsidRPr="00D94B67">
        <w:rPr>
          <w:lang w:val="en-US"/>
        </w:rPr>
        <w:t>RAN2 should define the contents of the respective RRC fields.</w:t>
      </w:r>
      <w:bookmarkEnd w:id="120"/>
      <w:bookmarkEnd w:id="121"/>
    </w:p>
    <w:p w14:paraId="7379AB8D" w14:textId="0333DC7D" w:rsidR="00FA3D4C" w:rsidRPr="00D94B67" w:rsidRDefault="00003674" w:rsidP="002E5484">
      <w:pPr>
        <w:rPr>
          <w:lang w:val="en-US"/>
        </w:rPr>
      </w:pPr>
      <w:r w:rsidRPr="00D94B67">
        <w:rPr>
          <w:lang w:val="en-US"/>
        </w:rPr>
        <w:t xml:space="preserve">For </w:t>
      </w:r>
      <w:r w:rsidR="00FC3ED5" w:rsidRPr="00D94B67">
        <w:rPr>
          <w:lang w:val="en-US"/>
        </w:rPr>
        <w:t xml:space="preserve">the </w:t>
      </w:r>
      <w:r w:rsidRPr="00D94B67">
        <w:rPr>
          <w:lang w:val="en-US"/>
        </w:rPr>
        <w:t xml:space="preserve">RAR, OSI, and paging use cases, the suitable UE receiver configuration with regard to SSB QCL relations </w:t>
      </w:r>
      <w:r w:rsidR="00FC3ED5" w:rsidRPr="00D94B67">
        <w:rPr>
          <w:lang w:val="en-US"/>
        </w:rPr>
        <w:t>can</w:t>
      </w:r>
      <w:r w:rsidRPr="00D94B67">
        <w:rPr>
          <w:lang w:val="en-US"/>
        </w:rPr>
        <w:t xml:space="preserve"> be indicated </w:t>
      </w:r>
      <w:r w:rsidR="00FC3ED5" w:rsidRPr="00D94B67">
        <w:rPr>
          <w:lang w:val="en-US"/>
        </w:rPr>
        <w:t>in</w:t>
      </w:r>
      <w:r w:rsidRPr="00D94B67">
        <w:rPr>
          <w:lang w:val="en-US"/>
        </w:rPr>
        <w:t xml:space="preserve"> RMSI. SIB</w:t>
      </w:r>
      <w:r w:rsidR="00C75F29" w:rsidRPr="00D94B67">
        <w:rPr>
          <w:lang w:val="en-US"/>
        </w:rPr>
        <w:t>1</w:t>
      </w:r>
      <w:r w:rsidRPr="00D94B67">
        <w:rPr>
          <w:lang w:val="en-US"/>
        </w:rPr>
        <w:t xml:space="preserve"> thus configures the UE to use appropriate (QCL) SSB instances for relevant PDCCH/PDSCH reception.  </w:t>
      </w:r>
    </w:p>
    <w:p w14:paraId="32D53351" w14:textId="06C058D8" w:rsidR="00003674" w:rsidRPr="00D94B67" w:rsidRDefault="00FC3ED5" w:rsidP="00003674">
      <w:pPr>
        <w:pStyle w:val="Proposal"/>
        <w:rPr>
          <w:lang w:val="en-US"/>
        </w:rPr>
      </w:pPr>
      <w:bookmarkStart w:id="122" w:name="_Toc494716905"/>
      <w:bookmarkStart w:id="123" w:name="_Toc494746968"/>
      <w:bookmarkStart w:id="124" w:name="_Toc498673322"/>
      <w:bookmarkStart w:id="125" w:name="_Toc498721276"/>
      <w:r w:rsidRPr="00D94B67">
        <w:rPr>
          <w:lang w:val="en-US"/>
        </w:rPr>
        <w:t xml:space="preserve">RMSI indicates which off-grid SSBs should </w:t>
      </w:r>
      <w:r w:rsidR="00003674" w:rsidRPr="00D94B67">
        <w:rPr>
          <w:lang w:val="en-US"/>
        </w:rPr>
        <w:t xml:space="preserve">be used as QCL reference for </w:t>
      </w:r>
      <w:r w:rsidRPr="00D94B67">
        <w:rPr>
          <w:lang w:val="en-US"/>
        </w:rPr>
        <w:t>PDCCH/PDSCH reception for RAR, OSI, and paging</w:t>
      </w:r>
      <w:r w:rsidR="00003674" w:rsidRPr="00D94B67">
        <w:rPr>
          <w:lang w:val="en-US"/>
        </w:rPr>
        <w:t>.</w:t>
      </w:r>
      <w:bookmarkEnd w:id="122"/>
      <w:bookmarkEnd w:id="123"/>
      <w:bookmarkEnd w:id="124"/>
      <w:bookmarkEnd w:id="125"/>
    </w:p>
    <w:p w14:paraId="5F4AF660" w14:textId="34838E9C" w:rsidR="00FC3ED5" w:rsidRPr="00D94B67" w:rsidRDefault="00FC3ED5" w:rsidP="00003674">
      <w:pPr>
        <w:pStyle w:val="Proposal"/>
        <w:rPr>
          <w:lang w:val="en-US"/>
        </w:rPr>
      </w:pPr>
      <w:bookmarkStart w:id="126" w:name="_Toc494716906"/>
      <w:bookmarkStart w:id="127" w:name="_Toc494746969"/>
      <w:bookmarkStart w:id="128" w:name="_Toc498673323"/>
      <w:bookmarkStart w:id="129" w:name="_Toc498721277"/>
      <w:r w:rsidRPr="00D94B67">
        <w:rPr>
          <w:lang w:val="en-US"/>
        </w:rPr>
        <w:t xml:space="preserve">RAN2 should define the contents of the respective </w:t>
      </w:r>
      <w:r w:rsidR="00C75F29" w:rsidRPr="00D94B67">
        <w:rPr>
          <w:lang w:val="en-US"/>
        </w:rPr>
        <w:t>SIB1</w:t>
      </w:r>
      <w:r w:rsidRPr="00D94B67">
        <w:rPr>
          <w:lang w:val="en-US"/>
        </w:rPr>
        <w:t xml:space="preserve"> fields.</w:t>
      </w:r>
      <w:bookmarkEnd w:id="126"/>
      <w:bookmarkEnd w:id="127"/>
      <w:bookmarkEnd w:id="128"/>
      <w:bookmarkEnd w:id="129"/>
    </w:p>
    <w:p w14:paraId="2D9D446D" w14:textId="77777777" w:rsidR="00410CC0" w:rsidRPr="00D94B67" w:rsidRDefault="00410CC0" w:rsidP="00410CC0">
      <w:pPr>
        <w:pStyle w:val="Proposal"/>
        <w:numPr>
          <w:ilvl w:val="0"/>
          <w:numId w:val="0"/>
        </w:numPr>
        <w:ind w:left="1304" w:hanging="1304"/>
        <w:rPr>
          <w:lang w:val="en-US"/>
        </w:rPr>
      </w:pPr>
    </w:p>
    <w:p w14:paraId="3D9FBB27" w14:textId="26BFF817" w:rsidR="009E15E8" w:rsidRPr="00D94B67" w:rsidRDefault="009E15E8" w:rsidP="00410CC0">
      <w:pPr>
        <w:pStyle w:val="Proposal"/>
        <w:numPr>
          <w:ilvl w:val="0"/>
          <w:numId w:val="0"/>
        </w:numPr>
        <w:ind w:left="1304" w:hanging="1304"/>
        <w:rPr>
          <w:lang w:val="en-US"/>
        </w:rPr>
      </w:pPr>
      <w:r w:rsidRPr="00D94B67">
        <w:rPr>
          <w:lang w:val="en-US"/>
        </w:rPr>
        <w:t xml:space="preserve"> </w:t>
      </w:r>
    </w:p>
    <w:p w14:paraId="3FDAEECB" w14:textId="77777777" w:rsidR="00C01F33" w:rsidRPr="00713C24" w:rsidRDefault="00C01F33" w:rsidP="00CE0424">
      <w:pPr>
        <w:pStyle w:val="Heading1"/>
        <w:rPr>
          <w:lang w:val="en-US"/>
        </w:rPr>
      </w:pPr>
      <w:r w:rsidRPr="00713C24">
        <w:rPr>
          <w:lang w:val="en-US"/>
        </w:rPr>
        <w:lastRenderedPageBreak/>
        <w:t>Conclusion</w:t>
      </w:r>
    </w:p>
    <w:p w14:paraId="339C0557" w14:textId="4B0427B2" w:rsidR="005E6B9A" w:rsidRPr="00713C24" w:rsidRDefault="005E6B9A" w:rsidP="003E25DB">
      <w:pPr>
        <w:pStyle w:val="TOC1"/>
        <w:rPr>
          <w:b w:val="0"/>
        </w:rPr>
      </w:pPr>
      <w:r w:rsidRPr="00713C24">
        <w:rPr>
          <w:b w:val="0"/>
        </w:rPr>
        <w:t>Based on the dis</w:t>
      </w:r>
      <w:r w:rsidR="00B924EE" w:rsidRPr="00713C24">
        <w:rPr>
          <w:b w:val="0"/>
        </w:rPr>
        <w:t>c</w:t>
      </w:r>
      <w:r w:rsidRPr="00713C24">
        <w:rPr>
          <w:b w:val="0"/>
        </w:rPr>
        <w:t xml:space="preserve">ussion in </w:t>
      </w:r>
      <w:r w:rsidR="002D31E8" w:rsidRPr="00713C24">
        <w:rPr>
          <w:b w:val="0"/>
        </w:rPr>
        <w:t>S</w:t>
      </w:r>
      <w:r w:rsidRPr="00713C24">
        <w:rPr>
          <w:b w:val="0"/>
        </w:rPr>
        <w:t>ection 2</w:t>
      </w:r>
      <w:r w:rsidR="005E4C46" w:rsidRPr="00713C24">
        <w:rPr>
          <w:b w:val="0"/>
        </w:rPr>
        <w:t>,</w:t>
      </w:r>
      <w:r w:rsidRPr="00713C24">
        <w:rPr>
          <w:b w:val="0"/>
        </w:rPr>
        <w:t xml:space="preserve"> we have the following observations:</w:t>
      </w:r>
    </w:p>
    <w:bookmarkStart w:id="130" w:name="_Hlk490213341"/>
    <w:p w14:paraId="698DBCE1" w14:textId="77777777" w:rsidR="00385C20" w:rsidRPr="007D3825" w:rsidRDefault="005E6B9A">
      <w:pPr>
        <w:pStyle w:val="TOC1"/>
        <w:rPr>
          <w:rFonts w:asciiTheme="minorHAnsi" w:eastAsiaTheme="minorEastAsia" w:hAnsiTheme="minorHAnsi" w:cstheme="minorBidi"/>
          <w:b w:val="0"/>
          <w:sz w:val="22"/>
          <w:lang w:eastAsia="sv-SE"/>
        </w:rPr>
      </w:pPr>
      <w:r w:rsidRPr="003E2192">
        <w:rPr>
          <w:bCs/>
        </w:rPr>
        <w:fldChar w:fldCharType="begin"/>
      </w:r>
      <w:r w:rsidRPr="00713C24">
        <w:rPr>
          <w:bCs/>
        </w:rPr>
        <w:instrText xml:space="preserve"> TOC \f \n \p " " \t "Observation,1" </w:instrText>
      </w:r>
      <w:r w:rsidRPr="003E2192">
        <w:rPr>
          <w:bCs/>
        </w:rPr>
        <w:fldChar w:fldCharType="separate"/>
      </w:r>
      <w:r w:rsidR="00385C20" w:rsidRPr="009C7E92">
        <w:t>Observation 1</w:t>
      </w:r>
      <w:r w:rsidR="00385C20" w:rsidRPr="007D3825">
        <w:rPr>
          <w:rFonts w:asciiTheme="minorHAnsi" w:eastAsiaTheme="minorEastAsia" w:hAnsiTheme="minorHAnsi" w:cstheme="minorBidi"/>
          <w:b w:val="0"/>
          <w:sz w:val="22"/>
          <w:lang w:eastAsia="sv-SE"/>
        </w:rPr>
        <w:tab/>
      </w:r>
      <w:r w:rsidR="00385C20" w:rsidRPr="009C7E92">
        <w:t>There will exist a variety of network deployments where default SSB reception does not spatially or temporally match the reception of other transmitted signals.</w:t>
      </w:r>
    </w:p>
    <w:p w14:paraId="7D93EF42" w14:textId="77777777" w:rsidR="00385C20" w:rsidRPr="007D3825" w:rsidRDefault="00385C20">
      <w:pPr>
        <w:pStyle w:val="TOC1"/>
        <w:rPr>
          <w:rFonts w:asciiTheme="minorHAnsi" w:eastAsiaTheme="minorEastAsia" w:hAnsiTheme="minorHAnsi" w:cstheme="minorBidi"/>
          <w:b w:val="0"/>
          <w:sz w:val="22"/>
          <w:lang w:eastAsia="sv-SE"/>
        </w:rPr>
      </w:pPr>
      <w:r w:rsidRPr="009C7E92">
        <w:t>Observation 2</w:t>
      </w:r>
      <w:r w:rsidRPr="007D3825">
        <w:rPr>
          <w:rFonts w:asciiTheme="minorHAnsi" w:eastAsiaTheme="minorEastAsia" w:hAnsiTheme="minorHAnsi" w:cstheme="minorBidi"/>
          <w:b w:val="0"/>
          <w:sz w:val="22"/>
          <w:lang w:eastAsia="sv-SE"/>
        </w:rPr>
        <w:tab/>
      </w:r>
      <w:r w:rsidRPr="009C7E92">
        <w:t>In some deployments, beam management RSRP measurements using solely CSI-RS may not be reliable.</w:t>
      </w:r>
    </w:p>
    <w:p w14:paraId="2F4EA9EB" w14:textId="77777777" w:rsidR="00385C20" w:rsidRPr="007D3825" w:rsidRDefault="00385C20">
      <w:pPr>
        <w:pStyle w:val="TOC1"/>
        <w:rPr>
          <w:rFonts w:asciiTheme="minorHAnsi" w:eastAsiaTheme="minorEastAsia" w:hAnsiTheme="minorHAnsi" w:cstheme="minorBidi"/>
          <w:b w:val="0"/>
          <w:sz w:val="22"/>
          <w:lang w:eastAsia="sv-SE"/>
        </w:rPr>
      </w:pPr>
      <w:r w:rsidRPr="009C7E92">
        <w:t>Observation 3</w:t>
      </w:r>
      <w:r w:rsidRPr="007D3825">
        <w:rPr>
          <w:rFonts w:asciiTheme="minorHAnsi" w:eastAsiaTheme="minorEastAsia" w:hAnsiTheme="minorHAnsi" w:cstheme="minorBidi"/>
          <w:b w:val="0"/>
          <w:sz w:val="22"/>
          <w:lang w:eastAsia="sv-SE"/>
        </w:rPr>
        <w:tab/>
      </w:r>
      <w:r w:rsidRPr="009C7E92">
        <w:t>In some deployments, neighbor-cell CSI-RS RSRP measurements for active mode mobility, using the cell’s default SSB as the sync source, may not be reliable.</w:t>
      </w:r>
    </w:p>
    <w:p w14:paraId="77D9686C" w14:textId="77777777" w:rsidR="00385C20" w:rsidRPr="007D3825" w:rsidRDefault="00385C20">
      <w:pPr>
        <w:pStyle w:val="TOC1"/>
        <w:rPr>
          <w:rFonts w:asciiTheme="minorHAnsi" w:eastAsiaTheme="minorEastAsia" w:hAnsiTheme="minorHAnsi" w:cstheme="minorBidi"/>
          <w:b w:val="0"/>
          <w:sz w:val="22"/>
          <w:lang w:eastAsia="sv-SE"/>
        </w:rPr>
      </w:pPr>
      <w:r w:rsidRPr="009C7E92">
        <w:t>Observation 4</w:t>
      </w:r>
      <w:r w:rsidRPr="007D3825">
        <w:rPr>
          <w:rFonts w:asciiTheme="minorHAnsi" w:eastAsiaTheme="minorEastAsia" w:hAnsiTheme="minorHAnsi" w:cstheme="minorBidi"/>
          <w:b w:val="0"/>
          <w:sz w:val="22"/>
          <w:lang w:eastAsia="sv-SE"/>
        </w:rPr>
        <w:tab/>
      </w:r>
      <w:r w:rsidRPr="009C7E92">
        <w:t>In some deployments, PDCCH carrying RAR may not be reliably received using the default SSB as the sync source.</w:t>
      </w:r>
    </w:p>
    <w:p w14:paraId="6A87DF15" w14:textId="77777777" w:rsidR="00385C20" w:rsidRPr="007D3825" w:rsidRDefault="00385C20">
      <w:pPr>
        <w:pStyle w:val="TOC1"/>
        <w:rPr>
          <w:rFonts w:asciiTheme="minorHAnsi" w:eastAsiaTheme="minorEastAsia" w:hAnsiTheme="minorHAnsi" w:cstheme="minorBidi"/>
          <w:b w:val="0"/>
          <w:sz w:val="22"/>
          <w:lang w:eastAsia="sv-SE"/>
        </w:rPr>
      </w:pPr>
      <w:r w:rsidRPr="009C7E92">
        <w:t>Observation 5</w:t>
      </w:r>
      <w:r w:rsidRPr="007D3825">
        <w:rPr>
          <w:rFonts w:asciiTheme="minorHAnsi" w:eastAsiaTheme="minorEastAsia" w:hAnsiTheme="minorHAnsi" w:cstheme="minorBidi"/>
          <w:b w:val="0"/>
          <w:sz w:val="22"/>
          <w:lang w:eastAsia="sv-SE"/>
        </w:rPr>
        <w:tab/>
      </w:r>
      <w:r w:rsidRPr="009C7E92">
        <w:t>In some deployments, PDCCH carrying paging indication may not be reliably received using the default SSB as the sync source.</w:t>
      </w:r>
    </w:p>
    <w:p w14:paraId="79861F89" w14:textId="77777777" w:rsidR="00385C20" w:rsidRPr="007D3825" w:rsidRDefault="00385C20">
      <w:pPr>
        <w:pStyle w:val="TOC1"/>
        <w:rPr>
          <w:rFonts w:asciiTheme="minorHAnsi" w:eastAsiaTheme="minorEastAsia" w:hAnsiTheme="minorHAnsi" w:cstheme="minorBidi"/>
          <w:b w:val="0"/>
          <w:sz w:val="22"/>
          <w:lang w:eastAsia="sv-SE"/>
        </w:rPr>
      </w:pPr>
      <w:r w:rsidRPr="009C7E92">
        <w:t>Observation 6</w:t>
      </w:r>
      <w:r w:rsidRPr="007D3825">
        <w:rPr>
          <w:rFonts w:asciiTheme="minorHAnsi" w:eastAsiaTheme="minorEastAsia" w:hAnsiTheme="minorHAnsi" w:cstheme="minorBidi"/>
          <w:b w:val="0"/>
          <w:sz w:val="22"/>
          <w:lang w:eastAsia="sv-SE"/>
        </w:rPr>
        <w:tab/>
      </w:r>
      <w:r w:rsidRPr="009C7E92">
        <w:t>In some deployments, PDCCH carrying RMSI may not be reliably received using default SSB as sync source.</w:t>
      </w:r>
    </w:p>
    <w:p w14:paraId="2974D517" w14:textId="77777777" w:rsidR="00385C20" w:rsidRPr="007D3825" w:rsidRDefault="00385C20">
      <w:pPr>
        <w:pStyle w:val="TOC1"/>
        <w:rPr>
          <w:rFonts w:asciiTheme="minorHAnsi" w:eastAsiaTheme="minorEastAsia" w:hAnsiTheme="minorHAnsi" w:cstheme="minorBidi"/>
          <w:b w:val="0"/>
          <w:sz w:val="22"/>
          <w:lang w:eastAsia="sv-SE"/>
        </w:rPr>
      </w:pPr>
      <w:r w:rsidRPr="009C7E92">
        <w:t>Observation 7</w:t>
      </w:r>
      <w:r w:rsidRPr="007D3825">
        <w:rPr>
          <w:rFonts w:asciiTheme="minorHAnsi" w:eastAsiaTheme="minorEastAsia" w:hAnsiTheme="minorHAnsi" w:cstheme="minorBidi"/>
          <w:b w:val="0"/>
          <w:sz w:val="22"/>
          <w:lang w:eastAsia="sv-SE"/>
        </w:rPr>
        <w:tab/>
      </w:r>
      <w:r w:rsidRPr="009C7E92">
        <w:t>In some deployments, PDCCH carrying OSI may not be reliably received using default SSB as sync source.</w:t>
      </w:r>
    </w:p>
    <w:p w14:paraId="021F92D3" w14:textId="77777777" w:rsidR="00385C20" w:rsidRPr="007D3825" w:rsidRDefault="00385C20">
      <w:pPr>
        <w:pStyle w:val="TOC1"/>
        <w:rPr>
          <w:rFonts w:asciiTheme="minorHAnsi" w:eastAsiaTheme="minorEastAsia" w:hAnsiTheme="minorHAnsi" w:cstheme="minorBidi"/>
          <w:b w:val="0"/>
          <w:sz w:val="22"/>
          <w:lang w:eastAsia="sv-SE"/>
        </w:rPr>
      </w:pPr>
      <w:r w:rsidRPr="009C7E92">
        <w:t>Observation 1</w:t>
      </w:r>
      <w:r w:rsidRPr="007D3825">
        <w:rPr>
          <w:rFonts w:asciiTheme="minorHAnsi" w:eastAsiaTheme="minorEastAsia" w:hAnsiTheme="minorHAnsi" w:cstheme="minorBidi"/>
          <w:b w:val="0"/>
          <w:sz w:val="22"/>
          <w:lang w:eastAsia="sv-SE"/>
        </w:rPr>
        <w:tab/>
      </w:r>
      <w:r w:rsidRPr="009C7E92">
        <w:t>An additional sync signal provision mechanism building on the established SSB structure will be utilized by the UE by reusing existing receiver structures.</w:t>
      </w:r>
    </w:p>
    <w:p w14:paraId="5B1DDA9A" w14:textId="3016A06E" w:rsidR="002E05E5" w:rsidRPr="00713C24" w:rsidRDefault="005E6B9A" w:rsidP="008F1821">
      <w:pPr>
        <w:pStyle w:val="TOC1"/>
        <w:rPr>
          <w:b w:val="0"/>
        </w:rPr>
      </w:pPr>
      <w:r w:rsidRPr="003E2192">
        <w:rPr>
          <w:b w:val="0"/>
          <w:bCs/>
        </w:rPr>
        <w:fldChar w:fldCharType="end"/>
      </w:r>
      <w:bookmarkEnd w:id="130"/>
      <w:r w:rsidR="008E065E" w:rsidRPr="00713C24">
        <w:rPr>
          <w:b w:val="0"/>
        </w:rPr>
        <w:t xml:space="preserve">Based on the discussion in </w:t>
      </w:r>
      <w:r w:rsidR="002D31E8" w:rsidRPr="00713C24">
        <w:rPr>
          <w:b w:val="0"/>
        </w:rPr>
        <w:t>S</w:t>
      </w:r>
      <w:r w:rsidR="008E065E" w:rsidRPr="00713C24">
        <w:rPr>
          <w:b w:val="0"/>
        </w:rPr>
        <w:t xml:space="preserve">ection </w:t>
      </w:r>
      <w:r w:rsidR="008C0187">
        <w:rPr>
          <w:b w:val="0"/>
        </w:rPr>
        <w:t>2</w:t>
      </w:r>
      <w:r w:rsidR="005E4C46" w:rsidRPr="00713C24">
        <w:rPr>
          <w:b w:val="0"/>
        </w:rPr>
        <w:t>,</w:t>
      </w:r>
      <w:r w:rsidR="008E065E" w:rsidRPr="00713C24">
        <w:rPr>
          <w:b w:val="0"/>
        </w:rPr>
        <w:t xml:space="preserve"> we propose the following:</w:t>
      </w:r>
    </w:p>
    <w:bookmarkStart w:id="131" w:name="_In-sequence_SDU_delivery"/>
    <w:bookmarkStart w:id="132" w:name="_Toc492598354"/>
    <w:bookmarkStart w:id="133" w:name="_Toc492629149"/>
    <w:bookmarkEnd w:id="131"/>
    <w:p w14:paraId="4626B995" w14:textId="77777777" w:rsidR="00385C20" w:rsidRPr="007D3825" w:rsidRDefault="005E6B9A">
      <w:pPr>
        <w:pStyle w:val="TOC1"/>
        <w:rPr>
          <w:rFonts w:asciiTheme="minorHAnsi" w:eastAsiaTheme="minorEastAsia" w:hAnsiTheme="minorHAnsi" w:cstheme="minorBidi"/>
          <w:b w:val="0"/>
          <w:sz w:val="22"/>
          <w:lang w:eastAsia="sv-SE"/>
        </w:rPr>
      </w:pPr>
      <w:r w:rsidRPr="003E2192">
        <w:rPr>
          <w:lang w:val="sv-SE"/>
        </w:rPr>
        <w:fldChar w:fldCharType="begin"/>
      </w:r>
      <w:r w:rsidRPr="00F72947">
        <w:instrText xml:space="preserve"> TOC \f \n \p " " \t "Proposal,1" </w:instrText>
      </w:r>
      <w:r w:rsidRPr="003E2192">
        <w:rPr>
          <w:lang w:val="sv-SE"/>
        </w:rPr>
        <w:fldChar w:fldCharType="separate"/>
      </w:r>
      <w:bookmarkEnd w:id="132"/>
      <w:bookmarkEnd w:id="133"/>
      <w:r w:rsidR="00385C20" w:rsidRPr="00627069">
        <w:t>Proposal 1</w:t>
      </w:r>
      <w:r w:rsidR="00385C20" w:rsidRPr="007D3825">
        <w:rPr>
          <w:rFonts w:asciiTheme="minorHAnsi" w:eastAsiaTheme="minorEastAsia" w:hAnsiTheme="minorHAnsi" w:cstheme="minorBidi"/>
          <w:b w:val="0"/>
          <w:sz w:val="22"/>
          <w:lang w:eastAsia="sv-SE"/>
        </w:rPr>
        <w:tab/>
      </w:r>
      <w:r w:rsidR="00385C20" w:rsidRPr="00627069">
        <w:t>NR should support QCL association of beam management and mobility measurement signals with off-grid SSBs.</w:t>
      </w:r>
    </w:p>
    <w:p w14:paraId="56AA63B7" w14:textId="77777777" w:rsidR="00385C20" w:rsidRPr="007D3825" w:rsidRDefault="00385C20">
      <w:pPr>
        <w:pStyle w:val="TOC1"/>
        <w:rPr>
          <w:rFonts w:asciiTheme="minorHAnsi" w:eastAsiaTheme="minorEastAsia" w:hAnsiTheme="minorHAnsi" w:cstheme="minorBidi"/>
          <w:b w:val="0"/>
          <w:sz w:val="22"/>
          <w:lang w:eastAsia="sv-SE"/>
        </w:rPr>
      </w:pPr>
      <w:r w:rsidRPr="00627069">
        <w:t>Proposal 2</w:t>
      </w:r>
      <w:r w:rsidRPr="007D3825">
        <w:rPr>
          <w:rFonts w:asciiTheme="minorHAnsi" w:eastAsiaTheme="minorEastAsia" w:hAnsiTheme="minorHAnsi" w:cstheme="minorBidi"/>
          <w:b w:val="0"/>
          <w:sz w:val="22"/>
          <w:lang w:eastAsia="sv-SE"/>
        </w:rPr>
        <w:tab/>
      </w:r>
      <w:r w:rsidRPr="00627069">
        <w:t>RRC signaling is used to indicate to the UE which time indices in the default SSB sweep and/or which off-grid SSBs should be used as QCL reference for CSI-RS and/or TRS reception for beam management and/or active mode mobility measurements.</w:t>
      </w:r>
    </w:p>
    <w:p w14:paraId="61C05478" w14:textId="77777777" w:rsidR="00385C20" w:rsidRPr="007D3825" w:rsidRDefault="00385C20">
      <w:pPr>
        <w:pStyle w:val="TOC1"/>
        <w:rPr>
          <w:rFonts w:asciiTheme="minorHAnsi" w:eastAsiaTheme="minorEastAsia" w:hAnsiTheme="minorHAnsi" w:cstheme="minorBidi"/>
          <w:b w:val="0"/>
          <w:sz w:val="22"/>
          <w:lang w:eastAsia="sv-SE"/>
        </w:rPr>
      </w:pPr>
      <w:r w:rsidRPr="00627069">
        <w:t>Proposal 3</w:t>
      </w:r>
      <w:r w:rsidRPr="007D3825">
        <w:rPr>
          <w:rFonts w:asciiTheme="minorHAnsi" w:eastAsiaTheme="minorEastAsia" w:hAnsiTheme="minorHAnsi" w:cstheme="minorBidi"/>
          <w:b w:val="0"/>
          <w:sz w:val="22"/>
          <w:lang w:eastAsia="sv-SE"/>
        </w:rPr>
        <w:tab/>
      </w:r>
      <w:r w:rsidRPr="00627069">
        <w:t>RAN2 should define the contents of the respective RRC fields.</w:t>
      </w:r>
    </w:p>
    <w:p w14:paraId="2A757C80" w14:textId="77777777" w:rsidR="00385C20" w:rsidRPr="007D3825" w:rsidRDefault="00385C20">
      <w:pPr>
        <w:pStyle w:val="TOC1"/>
        <w:rPr>
          <w:rFonts w:asciiTheme="minorHAnsi" w:eastAsiaTheme="minorEastAsia" w:hAnsiTheme="minorHAnsi" w:cstheme="minorBidi"/>
          <w:b w:val="0"/>
          <w:sz w:val="22"/>
          <w:lang w:eastAsia="sv-SE"/>
        </w:rPr>
      </w:pPr>
      <w:r w:rsidRPr="00627069">
        <w:t>Proposal 4</w:t>
      </w:r>
      <w:r w:rsidRPr="007D3825">
        <w:rPr>
          <w:rFonts w:asciiTheme="minorHAnsi" w:eastAsiaTheme="minorEastAsia" w:hAnsiTheme="minorHAnsi" w:cstheme="minorBidi"/>
          <w:b w:val="0"/>
          <w:sz w:val="22"/>
          <w:lang w:eastAsia="sv-SE"/>
        </w:rPr>
        <w:tab/>
      </w:r>
      <w:r w:rsidRPr="00627069">
        <w:t>RMSI indicates which off-grid SSBs should be used as QCL reference for PDCCH/PDSCH reception for RAR, OSI, and paging.</w:t>
      </w:r>
    </w:p>
    <w:p w14:paraId="78360C78" w14:textId="77777777" w:rsidR="00385C20" w:rsidRPr="007D3825" w:rsidRDefault="00385C20">
      <w:pPr>
        <w:pStyle w:val="TOC1"/>
        <w:rPr>
          <w:rFonts w:asciiTheme="minorHAnsi" w:eastAsiaTheme="minorEastAsia" w:hAnsiTheme="minorHAnsi" w:cstheme="minorBidi"/>
          <w:b w:val="0"/>
          <w:sz w:val="22"/>
          <w:lang w:eastAsia="sv-SE"/>
        </w:rPr>
      </w:pPr>
      <w:r w:rsidRPr="00627069">
        <w:t>Proposal 5</w:t>
      </w:r>
      <w:r w:rsidRPr="007D3825">
        <w:rPr>
          <w:rFonts w:asciiTheme="minorHAnsi" w:eastAsiaTheme="minorEastAsia" w:hAnsiTheme="minorHAnsi" w:cstheme="minorBidi"/>
          <w:b w:val="0"/>
          <w:sz w:val="22"/>
          <w:lang w:eastAsia="sv-SE"/>
        </w:rPr>
        <w:tab/>
      </w:r>
      <w:r w:rsidRPr="00627069">
        <w:t>RAN2 should define the contents of the respective SIB1 fields.</w:t>
      </w:r>
    </w:p>
    <w:p w14:paraId="3CA25FCB" w14:textId="2A1D5E29" w:rsidR="00F507D1" w:rsidRPr="00713C24" w:rsidRDefault="005E6B9A" w:rsidP="0009033B">
      <w:pPr>
        <w:pStyle w:val="Heading1"/>
        <w:rPr>
          <w:lang w:val="en-US"/>
        </w:rPr>
      </w:pPr>
      <w:r w:rsidRPr="003E2192">
        <w:rPr>
          <w:rFonts w:cs="Times New Roman"/>
          <w:b/>
          <w:bCs/>
          <w:noProof/>
          <w:sz w:val="20"/>
          <w:szCs w:val="22"/>
          <w:lang w:val="en-US"/>
        </w:rPr>
        <w:fldChar w:fldCharType="end"/>
      </w:r>
      <w:r w:rsidR="00F507D1" w:rsidRPr="00713C24">
        <w:rPr>
          <w:lang w:val="en-US"/>
        </w:rPr>
        <w:t>References</w:t>
      </w:r>
    </w:p>
    <w:p w14:paraId="73D18C11" w14:textId="4A1C729C" w:rsidR="00B20636" w:rsidRPr="00D94B67" w:rsidRDefault="00307740" w:rsidP="00465327">
      <w:pPr>
        <w:pStyle w:val="Reference"/>
        <w:rPr>
          <w:lang w:val="en-US"/>
        </w:rPr>
      </w:pPr>
      <w:bookmarkStart w:id="134" w:name="_Ref485196653"/>
      <w:bookmarkStart w:id="135" w:name="_Ref458515583"/>
      <w:bookmarkStart w:id="136" w:name="_Ref174151459"/>
      <w:bookmarkStart w:id="137" w:name="_Ref189809556"/>
      <w:bookmarkStart w:id="138" w:name="_Ref458165837"/>
      <w:r w:rsidRPr="00D94B67">
        <w:rPr>
          <w:lang w:val="en-US"/>
        </w:rPr>
        <w:t>R2-</w:t>
      </w:r>
      <w:r w:rsidR="00F063CF" w:rsidRPr="00D94B67">
        <w:rPr>
          <w:lang w:val="en-US"/>
        </w:rPr>
        <w:t>1702451, Report of 3GPP TSG RAN WG2 meeting #97, Athens, Greece</w:t>
      </w:r>
      <w:r w:rsidR="00385C20">
        <w:rPr>
          <w:lang w:val="en-US"/>
        </w:rPr>
        <w:t>.</w:t>
      </w:r>
      <w:r w:rsidRPr="00D94B67">
        <w:rPr>
          <w:lang w:val="en-US"/>
        </w:rPr>
        <w:t xml:space="preserve"> </w:t>
      </w:r>
      <w:bookmarkEnd w:id="134"/>
    </w:p>
    <w:p w14:paraId="5FCE398D" w14:textId="13CBB36E" w:rsidR="00C74957" w:rsidRPr="00D94B67" w:rsidRDefault="00307740" w:rsidP="007459A9">
      <w:pPr>
        <w:pStyle w:val="Reference"/>
        <w:rPr>
          <w:lang w:val="en-US"/>
        </w:rPr>
      </w:pPr>
      <w:bookmarkStart w:id="139" w:name="_Ref485196164"/>
      <w:r w:rsidRPr="00D94B67">
        <w:rPr>
          <w:lang w:val="en-US"/>
        </w:rPr>
        <w:t xml:space="preserve">R2-165551, </w:t>
      </w:r>
      <w:hyperlink r:id="rId14" w:tooltip="C:DATA3GPPRAN2DocsR2-165551.zip" w:history="1"/>
      <w:r w:rsidR="007129DA" w:rsidRPr="00D94B67">
        <w:rPr>
          <w:lang w:val="en-US"/>
        </w:rPr>
        <w:t>Broadcasting SI by means of SFN transmission in NR</w:t>
      </w:r>
      <w:r w:rsidRPr="00D94B67">
        <w:rPr>
          <w:lang w:val="en-US"/>
        </w:rPr>
        <w:t>, RAN2#95</w:t>
      </w:r>
      <w:bookmarkEnd w:id="139"/>
      <w:r w:rsidR="00385C20">
        <w:rPr>
          <w:lang w:val="en-US"/>
        </w:rPr>
        <w:t>.</w:t>
      </w:r>
    </w:p>
    <w:p w14:paraId="446575E9" w14:textId="3CC9B426" w:rsidR="00C74957" w:rsidRPr="00D94B67" w:rsidRDefault="00C74957" w:rsidP="00760DD8">
      <w:pPr>
        <w:pStyle w:val="Reference"/>
        <w:rPr>
          <w:lang w:val="en-US"/>
        </w:rPr>
      </w:pPr>
      <w:bookmarkStart w:id="140" w:name="_Ref485197819"/>
      <w:r w:rsidRPr="00D94B67">
        <w:rPr>
          <w:lang w:val="en-US"/>
        </w:rPr>
        <w:t>R1-</w:t>
      </w:r>
      <w:r w:rsidR="00B54282" w:rsidRPr="00D94B67">
        <w:rPr>
          <w:lang w:val="en-US"/>
        </w:rPr>
        <w:t>17</w:t>
      </w:r>
      <w:r w:rsidR="00760DD8" w:rsidRPr="00D94B67">
        <w:rPr>
          <w:lang w:val="en-US"/>
        </w:rPr>
        <w:t>16151</w:t>
      </w:r>
      <w:r w:rsidRPr="00D94B67">
        <w:rPr>
          <w:lang w:val="en-US"/>
        </w:rPr>
        <w:t>, NR delivery of remaining minimum system information, Ericsson</w:t>
      </w:r>
      <w:r w:rsidR="00B54282" w:rsidRPr="00D94B67">
        <w:rPr>
          <w:lang w:val="en-US"/>
        </w:rPr>
        <w:t>, 3GPP TSG-RAN WG1 NR Ad-Hoc#</w:t>
      </w:r>
      <w:r w:rsidR="00760DD8" w:rsidRPr="00D94B67">
        <w:rPr>
          <w:lang w:val="en-US"/>
        </w:rPr>
        <w:t>3</w:t>
      </w:r>
      <w:r w:rsidR="00B54282" w:rsidRPr="00D94B67">
        <w:rPr>
          <w:lang w:val="en-US"/>
        </w:rPr>
        <w:t xml:space="preserve">, </w:t>
      </w:r>
      <w:r w:rsidR="00760DD8" w:rsidRPr="00D94B67">
        <w:rPr>
          <w:lang w:val="en-US"/>
        </w:rPr>
        <w:t>Nagoya, Japan, 18th – 22nd September 2017</w:t>
      </w:r>
      <w:r w:rsidRPr="00D94B67">
        <w:rPr>
          <w:lang w:val="en-US"/>
        </w:rPr>
        <w:t>.</w:t>
      </w:r>
      <w:bookmarkEnd w:id="140"/>
    </w:p>
    <w:p w14:paraId="21E31B18" w14:textId="018D4D61" w:rsidR="00B82B84" w:rsidRPr="00D94B67" w:rsidRDefault="00224959" w:rsidP="007459A9">
      <w:pPr>
        <w:pStyle w:val="Reference"/>
        <w:rPr>
          <w:lang w:val="en-US"/>
        </w:rPr>
      </w:pPr>
      <w:r w:rsidRPr="00D94B67">
        <w:rPr>
          <w:lang w:val="en-US"/>
        </w:rPr>
        <w:t xml:space="preserve">R1-1608562, Final meeting report, 3GPP TSG RAN WG1 Meeting #86bis, Lisbon, Portugal, 10th – 14th October 2016 </w:t>
      </w:r>
    </w:p>
    <w:p w14:paraId="41A50CAE" w14:textId="72EBF718" w:rsidR="00B6526E" w:rsidRPr="00D94B67" w:rsidRDefault="00067FFE" w:rsidP="003E2192">
      <w:pPr>
        <w:pStyle w:val="Reference"/>
        <w:rPr>
          <w:lang w:val="en-US"/>
        </w:rPr>
      </w:pPr>
      <w:bookmarkStart w:id="141" w:name="_Ref490218860"/>
      <w:r w:rsidRPr="00D94B67">
        <w:rPr>
          <w:lang w:val="en-US"/>
        </w:rPr>
        <w:t>3GPP TS 36.101, V8.0.3: "User Equipment (UE) radio transmission and reception (Rel. 8)".</w:t>
      </w:r>
      <w:bookmarkEnd w:id="135"/>
      <w:bookmarkEnd w:id="136"/>
      <w:bookmarkEnd w:id="137"/>
      <w:bookmarkEnd w:id="138"/>
      <w:bookmarkEnd w:id="141"/>
    </w:p>
    <w:p w14:paraId="61735797" w14:textId="247CDB59" w:rsidR="002206E4" w:rsidRPr="00D94B67" w:rsidRDefault="00E97CB3" w:rsidP="00385C20">
      <w:pPr>
        <w:pStyle w:val="Reference"/>
        <w:rPr>
          <w:lang w:val="en-US"/>
        </w:rPr>
      </w:pPr>
      <w:bookmarkStart w:id="142" w:name="_Ref494717210"/>
      <w:r w:rsidRPr="009A6F00">
        <w:rPr>
          <w:lang w:val="en-GB" w:eastAsia="zh-CN"/>
        </w:rPr>
        <w:t>R1-</w:t>
      </w:r>
      <w:r w:rsidR="00385C20" w:rsidRPr="00385C20">
        <w:rPr>
          <w:lang w:val="en-GB" w:eastAsia="zh-CN"/>
        </w:rPr>
        <w:t>1718711</w:t>
      </w:r>
      <w:r w:rsidRPr="009A6F00">
        <w:rPr>
          <w:lang w:val="en-GB" w:eastAsia="zh-CN"/>
        </w:rPr>
        <w:t xml:space="preserve"> “Remain</w:t>
      </w:r>
      <w:r>
        <w:rPr>
          <w:lang w:val="en-GB" w:eastAsia="zh-CN"/>
        </w:rPr>
        <w:t>ing</w:t>
      </w:r>
      <w:r w:rsidRPr="009A6F00">
        <w:rPr>
          <w:lang w:val="en-GB" w:eastAsia="zh-CN"/>
        </w:rPr>
        <w:t xml:space="preserve"> issues in </w:t>
      </w:r>
      <w:r>
        <w:rPr>
          <w:lang w:val="en-GB" w:eastAsia="zh-CN"/>
        </w:rPr>
        <w:t>PBCH</w:t>
      </w:r>
      <w:r w:rsidRPr="009A6F00">
        <w:rPr>
          <w:lang w:val="en-GB" w:eastAsia="zh-CN"/>
        </w:rPr>
        <w:t>”, Ericsson, 3GPP TSG RAN WG1 #90bis, Prague, CZ, 9th – 13th, October 2017</w:t>
      </w:r>
      <w:r w:rsidR="005976AB" w:rsidRPr="00D94B67">
        <w:rPr>
          <w:lang w:val="en-US"/>
        </w:rPr>
        <w:t>.</w:t>
      </w:r>
      <w:bookmarkEnd w:id="142"/>
    </w:p>
    <w:p w14:paraId="13222055" w14:textId="1DD9A189" w:rsidR="005976AB" w:rsidRDefault="005976AB" w:rsidP="00F80B59">
      <w:pPr>
        <w:pStyle w:val="Reference"/>
      </w:pPr>
      <w:bookmarkStart w:id="143" w:name="_Ref494274705"/>
      <w:r w:rsidRPr="00D94B67">
        <w:rPr>
          <w:lang w:val="en-US"/>
        </w:rPr>
        <w:t>G. Interdonato, et. al., "</w:t>
      </w:r>
      <w:r w:rsidRPr="005976AB">
        <w:rPr>
          <w:lang w:val="en-GB"/>
        </w:rPr>
        <w:t>On the performance of cell-free massive MIMO with short-term power constraints</w:t>
      </w:r>
      <w:r w:rsidRPr="00D94B67">
        <w:rPr>
          <w:lang w:val="en-US"/>
        </w:rPr>
        <w:t xml:space="preserve">,” In </w:t>
      </w:r>
      <w:r w:rsidRPr="00D94B67">
        <w:rPr>
          <w:i/>
          <w:lang w:val="en-US"/>
        </w:rPr>
        <w:t xml:space="preserve">Proc. </w:t>
      </w:r>
      <w:r w:rsidRPr="005976AB">
        <w:rPr>
          <w:i/>
        </w:rPr>
        <w:t>IEEE CAMAD</w:t>
      </w:r>
      <w:r w:rsidRPr="005976AB">
        <w:t>, 2016</w:t>
      </w:r>
      <w:r>
        <w:t>.</w:t>
      </w:r>
      <w:bookmarkEnd w:id="143"/>
    </w:p>
    <w:p w14:paraId="4116C9DB" w14:textId="6FF8FBAE" w:rsidR="009A6F00" w:rsidRPr="00D94B67" w:rsidRDefault="009A6F00" w:rsidP="00385C20">
      <w:pPr>
        <w:pStyle w:val="Reference"/>
        <w:rPr>
          <w:lang w:val="en-US"/>
        </w:rPr>
      </w:pPr>
      <w:bookmarkStart w:id="144" w:name="_Ref494717134"/>
      <w:r w:rsidRPr="009A6F00">
        <w:rPr>
          <w:lang w:val="en-GB" w:eastAsia="zh-CN"/>
        </w:rPr>
        <w:lastRenderedPageBreak/>
        <w:t>R1-</w:t>
      </w:r>
      <w:r w:rsidR="00385C20" w:rsidRPr="00385C20">
        <w:rPr>
          <w:lang w:val="en-GB" w:eastAsia="zh-CN"/>
        </w:rPr>
        <w:t>171871</w:t>
      </w:r>
      <w:r w:rsidR="00385C20">
        <w:rPr>
          <w:lang w:val="en-GB" w:eastAsia="zh-CN"/>
        </w:rPr>
        <w:t>0</w:t>
      </w:r>
      <w:r w:rsidRPr="009A6F00">
        <w:rPr>
          <w:lang w:val="en-GB" w:eastAsia="zh-CN"/>
        </w:rPr>
        <w:t xml:space="preserve"> “Remain</w:t>
      </w:r>
      <w:r>
        <w:rPr>
          <w:lang w:val="en-GB" w:eastAsia="zh-CN"/>
        </w:rPr>
        <w:t>ing</w:t>
      </w:r>
      <w:r w:rsidRPr="009A6F00">
        <w:rPr>
          <w:lang w:val="en-GB" w:eastAsia="zh-CN"/>
        </w:rPr>
        <w:t xml:space="preserve"> issues in SS block”, Ericsson, 3GPP TSG RAN WG1 #90bis, Prague, CZ, 9th – 13th, October 2017</w:t>
      </w:r>
      <w:bookmarkEnd w:id="144"/>
    </w:p>
    <w:sectPr w:rsidR="009A6F00" w:rsidRPr="00D94B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A4534" w14:textId="77777777" w:rsidR="00BF4F26" w:rsidRDefault="00BF4F26">
      <w:r>
        <w:separator/>
      </w:r>
    </w:p>
  </w:endnote>
  <w:endnote w:type="continuationSeparator" w:id="0">
    <w:p w14:paraId="0FC7AF5F" w14:textId="77777777" w:rsidR="00BF4F26" w:rsidRDefault="00BF4F26">
      <w:r>
        <w:continuationSeparator/>
      </w:r>
    </w:p>
  </w:endnote>
  <w:endnote w:type="continuationNotice" w:id="1">
    <w:p w14:paraId="53DB7C4E" w14:textId="77777777" w:rsidR="00BF4F26" w:rsidRDefault="00BF4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2EE39" w14:textId="77777777" w:rsidR="00BF4F26" w:rsidRDefault="00BF4F26">
      <w:r>
        <w:separator/>
      </w:r>
    </w:p>
  </w:footnote>
  <w:footnote w:type="continuationSeparator" w:id="0">
    <w:p w14:paraId="5B1A0CF5" w14:textId="77777777" w:rsidR="00BF4F26" w:rsidRDefault="00BF4F26">
      <w:r>
        <w:continuationSeparator/>
      </w:r>
    </w:p>
  </w:footnote>
  <w:footnote w:type="continuationNotice" w:id="1">
    <w:p w14:paraId="110B678B" w14:textId="77777777" w:rsidR="00BF4F26" w:rsidRDefault="00BF4F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D06B9"/>
    <w:multiLevelType w:val="hybridMultilevel"/>
    <w:tmpl w:val="4ED0F11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565368"/>
    <w:multiLevelType w:val="hybridMultilevel"/>
    <w:tmpl w:val="E7123CC8"/>
    <w:lvl w:ilvl="0" w:tplc="16AC2408">
      <w:start w:val="1"/>
      <w:numFmt w:val="bullet"/>
      <w:lvlText w:val="•"/>
      <w:lvlJc w:val="left"/>
      <w:pPr>
        <w:tabs>
          <w:tab w:val="num" w:pos="720"/>
        </w:tabs>
        <w:ind w:left="720" w:hanging="360"/>
      </w:pPr>
      <w:rPr>
        <w:rFonts w:ascii="Arial" w:hAnsi="Arial" w:hint="default"/>
      </w:rPr>
    </w:lvl>
    <w:lvl w:ilvl="1" w:tplc="8C4A74D8" w:tentative="1">
      <w:start w:val="1"/>
      <w:numFmt w:val="bullet"/>
      <w:lvlText w:val="•"/>
      <w:lvlJc w:val="left"/>
      <w:pPr>
        <w:tabs>
          <w:tab w:val="num" w:pos="1440"/>
        </w:tabs>
        <w:ind w:left="1440" w:hanging="360"/>
      </w:pPr>
      <w:rPr>
        <w:rFonts w:ascii="Arial" w:hAnsi="Arial" w:hint="default"/>
      </w:rPr>
    </w:lvl>
    <w:lvl w:ilvl="2" w:tplc="0DB05B34" w:tentative="1">
      <w:start w:val="1"/>
      <w:numFmt w:val="bullet"/>
      <w:lvlText w:val="•"/>
      <w:lvlJc w:val="left"/>
      <w:pPr>
        <w:tabs>
          <w:tab w:val="num" w:pos="2160"/>
        </w:tabs>
        <w:ind w:left="2160" w:hanging="360"/>
      </w:pPr>
      <w:rPr>
        <w:rFonts w:ascii="Arial" w:hAnsi="Arial" w:hint="default"/>
      </w:rPr>
    </w:lvl>
    <w:lvl w:ilvl="3" w:tplc="3F9236F6" w:tentative="1">
      <w:start w:val="1"/>
      <w:numFmt w:val="bullet"/>
      <w:lvlText w:val="•"/>
      <w:lvlJc w:val="left"/>
      <w:pPr>
        <w:tabs>
          <w:tab w:val="num" w:pos="2880"/>
        </w:tabs>
        <w:ind w:left="2880" w:hanging="360"/>
      </w:pPr>
      <w:rPr>
        <w:rFonts w:ascii="Arial" w:hAnsi="Arial" w:hint="default"/>
      </w:rPr>
    </w:lvl>
    <w:lvl w:ilvl="4" w:tplc="E5E0403C" w:tentative="1">
      <w:start w:val="1"/>
      <w:numFmt w:val="bullet"/>
      <w:lvlText w:val="•"/>
      <w:lvlJc w:val="left"/>
      <w:pPr>
        <w:tabs>
          <w:tab w:val="num" w:pos="3600"/>
        </w:tabs>
        <w:ind w:left="3600" w:hanging="360"/>
      </w:pPr>
      <w:rPr>
        <w:rFonts w:ascii="Arial" w:hAnsi="Arial" w:hint="default"/>
      </w:rPr>
    </w:lvl>
    <w:lvl w:ilvl="5" w:tplc="9BF0F4C8" w:tentative="1">
      <w:start w:val="1"/>
      <w:numFmt w:val="bullet"/>
      <w:lvlText w:val="•"/>
      <w:lvlJc w:val="left"/>
      <w:pPr>
        <w:tabs>
          <w:tab w:val="num" w:pos="4320"/>
        </w:tabs>
        <w:ind w:left="4320" w:hanging="360"/>
      </w:pPr>
      <w:rPr>
        <w:rFonts w:ascii="Arial" w:hAnsi="Arial" w:hint="default"/>
      </w:rPr>
    </w:lvl>
    <w:lvl w:ilvl="6" w:tplc="2D009D10" w:tentative="1">
      <w:start w:val="1"/>
      <w:numFmt w:val="bullet"/>
      <w:lvlText w:val="•"/>
      <w:lvlJc w:val="left"/>
      <w:pPr>
        <w:tabs>
          <w:tab w:val="num" w:pos="5040"/>
        </w:tabs>
        <w:ind w:left="5040" w:hanging="360"/>
      </w:pPr>
      <w:rPr>
        <w:rFonts w:ascii="Arial" w:hAnsi="Arial" w:hint="default"/>
      </w:rPr>
    </w:lvl>
    <w:lvl w:ilvl="7" w:tplc="F78A1DDA" w:tentative="1">
      <w:start w:val="1"/>
      <w:numFmt w:val="bullet"/>
      <w:lvlText w:val="•"/>
      <w:lvlJc w:val="left"/>
      <w:pPr>
        <w:tabs>
          <w:tab w:val="num" w:pos="5760"/>
        </w:tabs>
        <w:ind w:left="5760" w:hanging="360"/>
      </w:pPr>
      <w:rPr>
        <w:rFonts w:ascii="Arial" w:hAnsi="Arial" w:hint="default"/>
      </w:rPr>
    </w:lvl>
    <w:lvl w:ilvl="8" w:tplc="91A638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E0E79E8"/>
    <w:multiLevelType w:val="hybridMultilevel"/>
    <w:tmpl w:val="3354ABDE"/>
    <w:lvl w:ilvl="0" w:tplc="EB3E2778">
      <w:start w:val="1"/>
      <w:numFmt w:val="bullet"/>
      <w:lvlText w:val="•"/>
      <w:lvlJc w:val="left"/>
      <w:pPr>
        <w:tabs>
          <w:tab w:val="num" w:pos="720"/>
        </w:tabs>
        <w:ind w:left="720" w:hanging="360"/>
      </w:pPr>
      <w:rPr>
        <w:rFonts w:ascii="Arial" w:hAnsi="Arial" w:hint="default"/>
      </w:rPr>
    </w:lvl>
    <w:lvl w:ilvl="1" w:tplc="97587DBC">
      <w:numFmt w:val="bullet"/>
      <w:lvlText w:val="•"/>
      <w:lvlJc w:val="left"/>
      <w:pPr>
        <w:tabs>
          <w:tab w:val="num" w:pos="1440"/>
        </w:tabs>
        <w:ind w:left="1440" w:hanging="360"/>
      </w:pPr>
      <w:rPr>
        <w:rFonts w:ascii="Arial" w:hAnsi="Arial" w:hint="default"/>
      </w:rPr>
    </w:lvl>
    <w:lvl w:ilvl="2" w:tplc="3ABCA4B2">
      <w:numFmt w:val="bullet"/>
      <w:lvlText w:val="•"/>
      <w:lvlJc w:val="left"/>
      <w:pPr>
        <w:tabs>
          <w:tab w:val="num" w:pos="2160"/>
        </w:tabs>
        <w:ind w:left="2160" w:hanging="360"/>
      </w:pPr>
      <w:rPr>
        <w:rFonts w:ascii="Arial" w:hAnsi="Arial" w:hint="default"/>
      </w:rPr>
    </w:lvl>
    <w:lvl w:ilvl="3" w:tplc="DFA2082E" w:tentative="1">
      <w:start w:val="1"/>
      <w:numFmt w:val="bullet"/>
      <w:lvlText w:val="•"/>
      <w:lvlJc w:val="left"/>
      <w:pPr>
        <w:tabs>
          <w:tab w:val="num" w:pos="2880"/>
        </w:tabs>
        <w:ind w:left="2880" w:hanging="360"/>
      </w:pPr>
      <w:rPr>
        <w:rFonts w:ascii="Arial" w:hAnsi="Arial" w:hint="default"/>
      </w:rPr>
    </w:lvl>
    <w:lvl w:ilvl="4" w:tplc="1702F8EA" w:tentative="1">
      <w:start w:val="1"/>
      <w:numFmt w:val="bullet"/>
      <w:lvlText w:val="•"/>
      <w:lvlJc w:val="left"/>
      <w:pPr>
        <w:tabs>
          <w:tab w:val="num" w:pos="3600"/>
        </w:tabs>
        <w:ind w:left="3600" w:hanging="360"/>
      </w:pPr>
      <w:rPr>
        <w:rFonts w:ascii="Arial" w:hAnsi="Arial" w:hint="default"/>
      </w:rPr>
    </w:lvl>
    <w:lvl w:ilvl="5" w:tplc="E99E02F4" w:tentative="1">
      <w:start w:val="1"/>
      <w:numFmt w:val="bullet"/>
      <w:lvlText w:val="•"/>
      <w:lvlJc w:val="left"/>
      <w:pPr>
        <w:tabs>
          <w:tab w:val="num" w:pos="4320"/>
        </w:tabs>
        <w:ind w:left="4320" w:hanging="360"/>
      </w:pPr>
      <w:rPr>
        <w:rFonts w:ascii="Arial" w:hAnsi="Arial" w:hint="default"/>
      </w:rPr>
    </w:lvl>
    <w:lvl w:ilvl="6" w:tplc="C8A87DCE" w:tentative="1">
      <w:start w:val="1"/>
      <w:numFmt w:val="bullet"/>
      <w:lvlText w:val="•"/>
      <w:lvlJc w:val="left"/>
      <w:pPr>
        <w:tabs>
          <w:tab w:val="num" w:pos="5040"/>
        </w:tabs>
        <w:ind w:left="5040" w:hanging="360"/>
      </w:pPr>
      <w:rPr>
        <w:rFonts w:ascii="Arial" w:hAnsi="Arial" w:hint="default"/>
      </w:rPr>
    </w:lvl>
    <w:lvl w:ilvl="7" w:tplc="A4028B32" w:tentative="1">
      <w:start w:val="1"/>
      <w:numFmt w:val="bullet"/>
      <w:lvlText w:val="•"/>
      <w:lvlJc w:val="left"/>
      <w:pPr>
        <w:tabs>
          <w:tab w:val="num" w:pos="5760"/>
        </w:tabs>
        <w:ind w:left="5760" w:hanging="360"/>
      </w:pPr>
      <w:rPr>
        <w:rFonts w:ascii="Arial" w:hAnsi="Arial" w:hint="default"/>
      </w:rPr>
    </w:lvl>
    <w:lvl w:ilvl="8" w:tplc="874273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AF43E3"/>
    <w:multiLevelType w:val="hybridMultilevel"/>
    <w:tmpl w:val="4C3C033A"/>
    <w:lvl w:ilvl="0" w:tplc="2C8695DC">
      <w:start w:val="1"/>
      <w:numFmt w:val="bullet"/>
      <w:lvlText w:val="•"/>
      <w:lvlJc w:val="left"/>
      <w:pPr>
        <w:tabs>
          <w:tab w:val="num" w:pos="720"/>
        </w:tabs>
        <w:ind w:left="720" w:hanging="360"/>
      </w:pPr>
      <w:rPr>
        <w:rFonts w:ascii="Arial" w:hAnsi="Arial" w:hint="default"/>
      </w:rPr>
    </w:lvl>
    <w:lvl w:ilvl="1" w:tplc="B8CA8D52">
      <w:numFmt w:val="bullet"/>
      <w:lvlText w:val="•"/>
      <w:lvlJc w:val="left"/>
      <w:pPr>
        <w:tabs>
          <w:tab w:val="num" w:pos="1440"/>
        </w:tabs>
        <w:ind w:left="1440" w:hanging="360"/>
      </w:pPr>
      <w:rPr>
        <w:rFonts w:ascii="Arial" w:hAnsi="Arial" w:hint="default"/>
      </w:rPr>
    </w:lvl>
    <w:lvl w:ilvl="2" w:tplc="F078BD4E">
      <w:numFmt w:val="bullet"/>
      <w:lvlText w:val="•"/>
      <w:lvlJc w:val="left"/>
      <w:pPr>
        <w:tabs>
          <w:tab w:val="num" w:pos="2160"/>
        </w:tabs>
        <w:ind w:left="2160" w:hanging="360"/>
      </w:pPr>
      <w:rPr>
        <w:rFonts w:ascii="Arial" w:hAnsi="Arial" w:hint="default"/>
      </w:rPr>
    </w:lvl>
    <w:lvl w:ilvl="3" w:tplc="F4CCDA76" w:tentative="1">
      <w:start w:val="1"/>
      <w:numFmt w:val="bullet"/>
      <w:lvlText w:val="•"/>
      <w:lvlJc w:val="left"/>
      <w:pPr>
        <w:tabs>
          <w:tab w:val="num" w:pos="2880"/>
        </w:tabs>
        <w:ind w:left="2880" w:hanging="360"/>
      </w:pPr>
      <w:rPr>
        <w:rFonts w:ascii="Arial" w:hAnsi="Arial" w:hint="default"/>
      </w:rPr>
    </w:lvl>
    <w:lvl w:ilvl="4" w:tplc="6902FFD0" w:tentative="1">
      <w:start w:val="1"/>
      <w:numFmt w:val="bullet"/>
      <w:lvlText w:val="•"/>
      <w:lvlJc w:val="left"/>
      <w:pPr>
        <w:tabs>
          <w:tab w:val="num" w:pos="3600"/>
        </w:tabs>
        <w:ind w:left="3600" w:hanging="360"/>
      </w:pPr>
      <w:rPr>
        <w:rFonts w:ascii="Arial" w:hAnsi="Arial" w:hint="default"/>
      </w:rPr>
    </w:lvl>
    <w:lvl w:ilvl="5" w:tplc="74706AD6" w:tentative="1">
      <w:start w:val="1"/>
      <w:numFmt w:val="bullet"/>
      <w:lvlText w:val="•"/>
      <w:lvlJc w:val="left"/>
      <w:pPr>
        <w:tabs>
          <w:tab w:val="num" w:pos="4320"/>
        </w:tabs>
        <w:ind w:left="4320" w:hanging="360"/>
      </w:pPr>
      <w:rPr>
        <w:rFonts w:ascii="Arial" w:hAnsi="Arial" w:hint="default"/>
      </w:rPr>
    </w:lvl>
    <w:lvl w:ilvl="6" w:tplc="076C1E46" w:tentative="1">
      <w:start w:val="1"/>
      <w:numFmt w:val="bullet"/>
      <w:lvlText w:val="•"/>
      <w:lvlJc w:val="left"/>
      <w:pPr>
        <w:tabs>
          <w:tab w:val="num" w:pos="5040"/>
        </w:tabs>
        <w:ind w:left="5040" w:hanging="360"/>
      </w:pPr>
      <w:rPr>
        <w:rFonts w:ascii="Arial" w:hAnsi="Arial" w:hint="default"/>
      </w:rPr>
    </w:lvl>
    <w:lvl w:ilvl="7" w:tplc="B8EE1C9A" w:tentative="1">
      <w:start w:val="1"/>
      <w:numFmt w:val="bullet"/>
      <w:lvlText w:val="•"/>
      <w:lvlJc w:val="left"/>
      <w:pPr>
        <w:tabs>
          <w:tab w:val="num" w:pos="5760"/>
        </w:tabs>
        <w:ind w:left="5760" w:hanging="360"/>
      </w:pPr>
      <w:rPr>
        <w:rFonts w:ascii="Arial" w:hAnsi="Arial" w:hint="default"/>
      </w:rPr>
    </w:lvl>
    <w:lvl w:ilvl="8" w:tplc="998068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C13B43"/>
    <w:multiLevelType w:val="hybridMultilevel"/>
    <w:tmpl w:val="67D6F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4C46B110"/>
    <w:lvl w:ilvl="0" w:tplc="901E4CC4">
      <w:start w:val="1"/>
      <w:numFmt w:val="decimal"/>
      <w:pStyle w:val="Observation"/>
      <w:lvlText w:val="Observation %1"/>
      <w:lvlJc w:val="left"/>
      <w:pPr>
        <w:ind w:left="117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1D5755"/>
    <w:multiLevelType w:val="hybridMultilevel"/>
    <w:tmpl w:val="6400B32E"/>
    <w:lvl w:ilvl="0" w:tplc="5CC2E4C8">
      <w:start w:val="1"/>
      <w:numFmt w:val="bullet"/>
      <w:lvlText w:val="•"/>
      <w:lvlJc w:val="left"/>
      <w:pPr>
        <w:tabs>
          <w:tab w:val="num" w:pos="720"/>
        </w:tabs>
        <w:ind w:left="720" w:hanging="360"/>
      </w:pPr>
      <w:rPr>
        <w:rFonts w:ascii="Arial" w:hAnsi="Arial" w:hint="default"/>
      </w:rPr>
    </w:lvl>
    <w:lvl w:ilvl="1" w:tplc="80DCE852" w:tentative="1">
      <w:start w:val="1"/>
      <w:numFmt w:val="bullet"/>
      <w:lvlText w:val="•"/>
      <w:lvlJc w:val="left"/>
      <w:pPr>
        <w:tabs>
          <w:tab w:val="num" w:pos="1440"/>
        </w:tabs>
        <w:ind w:left="1440" w:hanging="360"/>
      </w:pPr>
      <w:rPr>
        <w:rFonts w:ascii="Arial" w:hAnsi="Arial" w:hint="default"/>
      </w:rPr>
    </w:lvl>
    <w:lvl w:ilvl="2" w:tplc="3BD49A44" w:tentative="1">
      <w:start w:val="1"/>
      <w:numFmt w:val="bullet"/>
      <w:lvlText w:val="•"/>
      <w:lvlJc w:val="left"/>
      <w:pPr>
        <w:tabs>
          <w:tab w:val="num" w:pos="2160"/>
        </w:tabs>
        <w:ind w:left="2160" w:hanging="360"/>
      </w:pPr>
      <w:rPr>
        <w:rFonts w:ascii="Arial" w:hAnsi="Arial" w:hint="default"/>
      </w:rPr>
    </w:lvl>
    <w:lvl w:ilvl="3" w:tplc="C308AC7C" w:tentative="1">
      <w:start w:val="1"/>
      <w:numFmt w:val="bullet"/>
      <w:lvlText w:val="•"/>
      <w:lvlJc w:val="left"/>
      <w:pPr>
        <w:tabs>
          <w:tab w:val="num" w:pos="2880"/>
        </w:tabs>
        <w:ind w:left="2880" w:hanging="360"/>
      </w:pPr>
      <w:rPr>
        <w:rFonts w:ascii="Arial" w:hAnsi="Arial" w:hint="default"/>
      </w:rPr>
    </w:lvl>
    <w:lvl w:ilvl="4" w:tplc="8F343122" w:tentative="1">
      <w:start w:val="1"/>
      <w:numFmt w:val="bullet"/>
      <w:lvlText w:val="•"/>
      <w:lvlJc w:val="left"/>
      <w:pPr>
        <w:tabs>
          <w:tab w:val="num" w:pos="3600"/>
        </w:tabs>
        <w:ind w:left="3600" w:hanging="360"/>
      </w:pPr>
      <w:rPr>
        <w:rFonts w:ascii="Arial" w:hAnsi="Arial" w:hint="default"/>
      </w:rPr>
    </w:lvl>
    <w:lvl w:ilvl="5" w:tplc="2F38D602" w:tentative="1">
      <w:start w:val="1"/>
      <w:numFmt w:val="bullet"/>
      <w:lvlText w:val="•"/>
      <w:lvlJc w:val="left"/>
      <w:pPr>
        <w:tabs>
          <w:tab w:val="num" w:pos="4320"/>
        </w:tabs>
        <w:ind w:left="4320" w:hanging="360"/>
      </w:pPr>
      <w:rPr>
        <w:rFonts w:ascii="Arial" w:hAnsi="Arial" w:hint="default"/>
      </w:rPr>
    </w:lvl>
    <w:lvl w:ilvl="6" w:tplc="B8483C9A" w:tentative="1">
      <w:start w:val="1"/>
      <w:numFmt w:val="bullet"/>
      <w:lvlText w:val="•"/>
      <w:lvlJc w:val="left"/>
      <w:pPr>
        <w:tabs>
          <w:tab w:val="num" w:pos="5040"/>
        </w:tabs>
        <w:ind w:left="5040" w:hanging="360"/>
      </w:pPr>
      <w:rPr>
        <w:rFonts w:ascii="Arial" w:hAnsi="Arial" w:hint="default"/>
      </w:rPr>
    </w:lvl>
    <w:lvl w:ilvl="7" w:tplc="2A28C18C" w:tentative="1">
      <w:start w:val="1"/>
      <w:numFmt w:val="bullet"/>
      <w:lvlText w:val="•"/>
      <w:lvlJc w:val="left"/>
      <w:pPr>
        <w:tabs>
          <w:tab w:val="num" w:pos="5760"/>
        </w:tabs>
        <w:ind w:left="5760" w:hanging="360"/>
      </w:pPr>
      <w:rPr>
        <w:rFonts w:ascii="Arial" w:hAnsi="Arial" w:hint="default"/>
      </w:rPr>
    </w:lvl>
    <w:lvl w:ilvl="8" w:tplc="B4CEC4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11"/>
  </w:num>
  <w:num w:numId="4">
    <w:abstractNumId w:val="12"/>
  </w:num>
  <w:num w:numId="5">
    <w:abstractNumId w:val="7"/>
  </w:num>
  <w:num w:numId="6">
    <w:abstractNumId w:val="13"/>
  </w:num>
  <w:num w:numId="7">
    <w:abstractNumId w:val="18"/>
  </w:num>
  <w:num w:numId="8">
    <w:abstractNumId w:val="9"/>
  </w:num>
  <w:num w:numId="9">
    <w:abstractNumId w:val="16"/>
  </w:num>
  <w:num w:numId="10">
    <w:abstractNumId w:val="3"/>
  </w:num>
  <w:num w:numId="11">
    <w:abstractNumId w:val="17"/>
  </w:num>
  <w:num w:numId="12">
    <w:abstractNumId w:val="5"/>
  </w:num>
  <w:num w:numId="1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8"/>
  </w:num>
  <w:num w:numId="15">
    <w:abstractNumId w:val="10"/>
  </w:num>
  <w:num w:numId="16">
    <w:abstractNumId w:val="4"/>
  </w:num>
  <w:num w:numId="17">
    <w:abstractNumId w:val="16"/>
  </w:num>
  <w:num w:numId="18">
    <w:abstractNumId w:val="19"/>
  </w:num>
  <w:num w:numId="19">
    <w:abstractNumId w:val="6"/>
  </w:num>
  <w:num w:numId="20">
    <w:abstractNumId w:val="11"/>
  </w:num>
  <w:num w:numId="21">
    <w:abstractNumId w:val="11"/>
  </w:num>
  <w:num w:numId="22">
    <w:abstractNumId w:val="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5"/>
  </w:num>
  <w:num w:numId="26">
    <w:abstractNumId w:val="1"/>
  </w:num>
  <w:num w:numId="27">
    <w:abstractNumId w:val="16"/>
    <w:lvlOverride w:ilvl="0">
      <w:startOverride w:val="1"/>
    </w:lvlOverride>
  </w:num>
  <w:num w:numId="28">
    <w:abstractNumId w:val="16"/>
    <w:lvlOverride w:ilvl="0">
      <w:startOverride w:val="1"/>
    </w:lvlOverride>
  </w:num>
  <w:num w:numId="29">
    <w:abstractNumId w:val="1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674"/>
    <w:rsid w:val="00003959"/>
    <w:rsid w:val="0000620F"/>
    <w:rsid w:val="00006446"/>
    <w:rsid w:val="000067D7"/>
    <w:rsid w:val="00006896"/>
    <w:rsid w:val="00007CDC"/>
    <w:rsid w:val="00007EDB"/>
    <w:rsid w:val="00010036"/>
    <w:rsid w:val="00011B28"/>
    <w:rsid w:val="00011DA2"/>
    <w:rsid w:val="00013ACA"/>
    <w:rsid w:val="00015154"/>
    <w:rsid w:val="00015D15"/>
    <w:rsid w:val="00015F6F"/>
    <w:rsid w:val="000211D9"/>
    <w:rsid w:val="0002564D"/>
    <w:rsid w:val="00025ECA"/>
    <w:rsid w:val="000266D4"/>
    <w:rsid w:val="00030F07"/>
    <w:rsid w:val="0003178D"/>
    <w:rsid w:val="00031C7E"/>
    <w:rsid w:val="00031DAF"/>
    <w:rsid w:val="000325B8"/>
    <w:rsid w:val="00032982"/>
    <w:rsid w:val="000340C8"/>
    <w:rsid w:val="00034C15"/>
    <w:rsid w:val="00036BA1"/>
    <w:rsid w:val="000370CC"/>
    <w:rsid w:val="000422E2"/>
    <w:rsid w:val="00042F22"/>
    <w:rsid w:val="000444EF"/>
    <w:rsid w:val="00045529"/>
    <w:rsid w:val="000476CE"/>
    <w:rsid w:val="00051696"/>
    <w:rsid w:val="00051D67"/>
    <w:rsid w:val="00052A07"/>
    <w:rsid w:val="000534E3"/>
    <w:rsid w:val="0005606A"/>
    <w:rsid w:val="0005666E"/>
    <w:rsid w:val="00056949"/>
    <w:rsid w:val="00056B67"/>
    <w:rsid w:val="00056D8D"/>
    <w:rsid w:val="00057117"/>
    <w:rsid w:val="00057229"/>
    <w:rsid w:val="0006080B"/>
    <w:rsid w:val="000616E7"/>
    <w:rsid w:val="00062E62"/>
    <w:rsid w:val="00063AFF"/>
    <w:rsid w:val="00063BC6"/>
    <w:rsid w:val="0006478A"/>
    <w:rsid w:val="0006487E"/>
    <w:rsid w:val="00065E1A"/>
    <w:rsid w:val="00067147"/>
    <w:rsid w:val="00067FFE"/>
    <w:rsid w:val="00070287"/>
    <w:rsid w:val="00071021"/>
    <w:rsid w:val="0007265B"/>
    <w:rsid w:val="0007690B"/>
    <w:rsid w:val="00076A6F"/>
    <w:rsid w:val="00076C39"/>
    <w:rsid w:val="00077E5F"/>
    <w:rsid w:val="0008036A"/>
    <w:rsid w:val="00081AE6"/>
    <w:rsid w:val="000855EB"/>
    <w:rsid w:val="00085B52"/>
    <w:rsid w:val="000866F2"/>
    <w:rsid w:val="0008736E"/>
    <w:rsid w:val="000879A4"/>
    <w:rsid w:val="00087E3E"/>
    <w:rsid w:val="0009009F"/>
    <w:rsid w:val="0009012F"/>
    <w:rsid w:val="0009033B"/>
    <w:rsid w:val="00091557"/>
    <w:rsid w:val="000924C1"/>
    <w:rsid w:val="000924F0"/>
    <w:rsid w:val="00092B4B"/>
    <w:rsid w:val="00093474"/>
    <w:rsid w:val="0009510F"/>
    <w:rsid w:val="00097BEA"/>
    <w:rsid w:val="000A006F"/>
    <w:rsid w:val="000A1B7B"/>
    <w:rsid w:val="000A27B7"/>
    <w:rsid w:val="000A30D7"/>
    <w:rsid w:val="000A351C"/>
    <w:rsid w:val="000A3EEC"/>
    <w:rsid w:val="000A56F2"/>
    <w:rsid w:val="000B1180"/>
    <w:rsid w:val="000B2719"/>
    <w:rsid w:val="000B3A8F"/>
    <w:rsid w:val="000B4AB9"/>
    <w:rsid w:val="000B58C3"/>
    <w:rsid w:val="000B61E9"/>
    <w:rsid w:val="000B66A8"/>
    <w:rsid w:val="000B7B33"/>
    <w:rsid w:val="000C165A"/>
    <w:rsid w:val="000C2E19"/>
    <w:rsid w:val="000C4DF5"/>
    <w:rsid w:val="000C5AEA"/>
    <w:rsid w:val="000D01D7"/>
    <w:rsid w:val="000D0D07"/>
    <w:rsid w:val="000D4797"/>
    <w:rsid w:val="000D48B5"/>
    <w:rsid w:val="000D59B6"/>
    <w:rsid w:val="000E0527"/>
    <w:rsid w:val="000E17AD"/>
    <w:rsid w:val="000E1A1F"/>
    <w:rsid w:val="000E1CD0"/>
    <w:rsid w:val="000E1E92"/>
    <w:rsid w:val="000E5B77"/>
    <w:rsid w:val="000F06D6"/>
    <w:rsid w:val="000F0839"/>
    <w:rsid w:val="000F0EB1"/>
    <w:rsid w:val="000F1106"/>
    <w:rsid w:val="000F3BE9"/>
    <w:rsid w:val="000F3F6C"/>
    <w:rsid w:val="000F4CE5"/>
    <w:rsid w:val="000F5920"/>
    <w:rsid w:val="000F6DF3"/>
    <w:rsid w:val="000F7070"/>
    <w:rsid w:val="000F782A"/>
    <w:rsid w:val="001005FF"/>
    <w:rsid w:val="00100FF6"/>
    <w:rsid w:val="00101C4E"/>
    <w:rsid w:val="00103EEB"/>
    <w:rsid w:val="00105303"/>
    <w:rsid w:val="001062FB"/>
    <w:rsid w:val="001063E6"/>
    <w:rsid w:val="00107F4E"/>
    <w:rsid w:val="00111DC7"/>
    <w:rsid w:val="00112AED"/>
    <w:rsid w:val="00113CF4"/>
    <w:rsid w:val="001153EA"/>
    <w:rsid w:val="001155DC"/>
    <w:rsid w:val="00115643"/>
    <w:rsid w:val="00115EE5"/>
    <w:rsid w:val="00116765"/>
    <w:rsid w:val="00117328"/>
    <w:rsid w:val="001219F5"/>
    <w:rsid w:val="00121A20"/>
    <w:rsid w:val="00122EDF"/>
    <w:rsid w:val="0012377F"/>
    <w:rsid w:val="00124314"/>
    <w:rsid w:val="00124D89"/>
    <w:rsid w:val="00126B4A"/>
    <w:rsid w:val="00126B9F"/>
    <w:rsid w:val="00127927"/>
    <w:rsid w:val="00132FD0"/>
    <w:rsid w:val="00133BDD"/>
    <w:rsid w:val="001344C0"/>
    <w:rsid w:val="001346FA"/>
    <w:rsid w:val="00135252"/>
    <w:rsid w:val="001353B1"/>
    <w:rsid w:val="00136A00"/>
    <w:rsid w:val="00136F34"/>
    <w:rsid w:val="00136F7A"/>
    <w:rsid w:val="00137AB5"/>
    <w:rsid w:val="00137F0B"/>
    <w:rsid w:val="00140964"/>
    <w:rsid w:val="00142AA9"/>
    <w:rsid w:val="00142B78"/>
    <w:rsid w:val="0014596D"/>
    <w:rsid w:val="00145CF2"/>
    <w:rsid w:val="00147B9C"/>
    <w:rsid w:val="00147B9F"/>
    <w:rsid w:val="001507D7"/>
    <w:rsid w:val="00151E23"/>
    <w:rsid w:val="0015217A"/>
    <w:rsid w:val="001526E0"/>
    <w:rsid w:val="001528A2"/>
    <w:rsid w:val="001551B5"/>
    <w:rsid w:val="00156194"/>
    <w:rsid w:val="00156F68"/>
    <w:rsid w:val="0016360E"/>
    <w:rsid w:val="00164D4A"/>
    <w:rsid w:val="001659C1"/>
    <w:rsid w:val="00166E39"/>
    <w:rsid w:val="00166E7F"/>
    <w:rsid w:val="00167763"/>
    <w:rsid w:val="00170546"/>
    <w:rsid w:val="00170C0D"/>
    <w:rsid w:val="0017261D"/>
    <w:rsid w:val="00173794"/>
    <w:rsid w:val="00173A8E"/>
    <w:rsid w:val="00174693"/>
    <w:rsid w:val="001748BD"/>
    <w:rsid w:val="00177795"/>
    <w:rsid w:val="0018002E"/>
    <w:rsid w:val="0018129E"/>
    <w:rsid w:val="0018143F"/>
    <w:rsid w:val="0018194F"/>
    <w:rsid w:val="00181E9F"/>
    <w:rsid w:val="0018264D"/>
    <w:rsid w:val="00183D3A"/>
    <w:rsid w:val="0018412F"/>
    <w:rsid w:val="0018507F"/>
    <w:rsid w:val="001854EE"/>
    <w:rsid w:val="00185502"/>
    <w:rsid w:val="00190AC1"/>
    <w:rsid w:val="0019341A"/>
    <w:rsid w:val="00195FE0"/>
    <w:rsid w:val="00197DF9"/>
    <w:rsid w:val="001A0671"/>
    <w:rsid w:val="001A0FF8"/>
    <w:rsid w:val="001A1987"/>
    <w:rsid w:val="001A1CB6"/>
    <w:rsid w:val="001A2564"/>
    <w:rsid w:val="001A3BDD"/>
    <w:rsid w:val="001A6173"/>
    <w:rsid w:val="001A6CBA"/>
    <w:rsid w:val="001B089D"/>
    <w:rsid w:val="001B0D97"/>
    <w:rsid w:val="001B0F53"/>
    <w:rsid w:val="001B23E5"/>
    <w:rsid w:val="001B501F"/>
    <w:rsid w:val="001B5A5D"/>
    <w:rsid w:val="001B5E94"/>
    <w:rsid w:val="001B69AE"/>
    <w:rsid w:val="001B700F"/>
    <w:rsid w:val="001C1CE5"/>
    <w:rsid w:val="001C3D2A"/>
    <w:rsid w:val="001C5E5C"/>
    <w:rsid w:val="001C7626"/>
    <w:rsid w:val="001D0490"/>
    <w:rsid w:val="001D0EFD"/>
    <w:rsid w:val="001D1F2C"/>
    <w:rsid w:val="001D3E0C"/>
    <w:rsid w:val="001D51BA"/>
    <w:rsid w:val="001D6342"/>
    <w:rsid w:val="001D6B0C"/>
    <w:rsid w:val="001D6D53"/>
    <w:rsid w:val="001E1C24"/>
    <w:rsid w:val="001E58E2"/>
    <w:rsid w:val="001E5DA3"/>
    <w:rsid w:val="001E6E7C"/>
    <w:rsid w:val="001E7506"/>
    <w:rsid w:val="001E7AED"/>
    <w:rsid w:val="001E7D83"/>
    <w:rsid w:val="001F238A"/>
    <w:rsid w:val="001F2D1C"/>
    <w:rsid w:val="001F344D"/>
    <w:rsid w:val="001F3916"/>
    <w:rsid w:val="001F5405"/>
    <w:rsid w:val="001F54C5"/>
    <w:rsid w:val="001F662C"/>
    <w:rsid w:val="001F6F78"/>
    <w:rsid w:val="001F7074"/>
    <w:rsid w:val="001F764F"/>
    <w:rsid w:val="001F76ED"/>
    <w:rsid w:val="00200490"/>
    <w:rsid w:val="00201B75"/>
    <w:rsid w:val="00201F3A"/>
    <w:rsid w:val="00202C20"/>
    <w:rsid w:val="00203CD4"/>
    <w:rsid w:val="00203F96"/>
    <w:rsid w:val="0020411C"/>
    <w:rsid w:val="00205E74"/>
    <w:rsid w:val="002069B2"/>
    <w:rsid w:val="00206B13"/>
    <w:rsid w:val="00207FA3"/>
    <w:rsid w:val="00211537"/>
    <w:rsid w:val="002123CD"/>
    <w:rsid w:val="002123EE"/>
    <w:rsid w:val="00212537"/>
    <w:rsid w:val="00214DA8"/>
    <w:rsid w:val="00215423"/>
    <w:rsid w:val="002158FA"/>
    <w:rsid w:val="00220600"/>
    <w:rsid w:val="002206E4"/>
    <w:rsid w:val="00220BB0"/>
    <w:rsid w:val="0022138B"/>
    <w:rsid w:val="002224DB"/>
    <w:rsid w:val="002226E0"/>
    <w:rsid w:val="00223FCB"/>
    <w:rsid w:val="00224959"/>
    <w:rsid w:val="002252C3"/>
    <w:rsid w:val="002254B5"/>
    <w:rsid w:val="00225A3C"/>
    <w:rsid w:val="00225C54"/>
    <w:rsid w:val="00226743"/>
    <w:rsid w:val="00230765"/>
    <w:rsid w:val="002319E4"/>
    <w:rsid w:val="00231A9A"/>
    <w:rsid w:val="00231B73"/>
    <w:rsid w:val="00231D5F"/>
    <w:rsid w:val="00231FDD"/>
    <w:rsid w:val="00232D4C"/>
    <w:rsid w:val="0023309C"/>
    <w:rsid w:val="002342CA"/>
    <w:rsid w:val="00235632"/>
    <w:rsid w:val="00235872"/>
    <w:rsid w:val="00240B51"/>
    <w:rsid w:val="00241202"/>
    <w:rsid w:val="00241559"/>
    <w:rsid w:val="002432E4"/>
    <w:rsid w:val="002435B3"/>
    <w:rsid w:val="002458EB"/>
    <w:rsid w:val="002500C8"/>
    <w:rsid w:val="00250C47"/>
    <w:rsid w:val="00251140"/>
    <w:rsid w:val="002512D7"/>
    <w:rsid w:val="00253522"/>
    <w:rsid w:val="00257543"/>
    <w:rsid w:val="00260380"/>
    <w:rsid w:val="002615AC"/>
    <w:rsid w:val="002617E7"/>
    <w:rsid w:val="00261905"/>
    <w:rsid w:val="002619D0"/>
    <w:rsid w:val="00262C40"/>
    <w:rsid w:val="00264228"/>
    <w:rsid w:val="00264334"/>
    <w:rsid w:val="0026473E"/>
    <w:rsid w:val="00264E01"/>
    <w:rsid w:val="00266214"/>
    <w:rsid w:val="0026742B"/>
    <w:rsid w:val="00267C83"/>
    <w:rsid w:val="00270CDB"/>
    <w:rsid w:val="002712FD"/>
    <w:rsid w:val="0027144F"/>
    <w:rsid w:val="00271F3A"/>
    <w:rsid w:val="00272738"/>
    <w:rsid w:val="00273278"/>
    <w:rsid w:val="002737F4"/>
    <w:rsid w:val="002805F5"/>
    <w:rsid w:val="00280751"/>
    <w:rsid w:val="0028280A"/>
    <w:rsid w:val="002836AE"/>
    <w:rsid w:val="00285BB7"/>
    <w:rsid w:val="00286ACD"/>
    <w:rsid w:val="00287838"/>
    <w:rsid w:val="002901B1"/>
    <w:rsid w:val="002907B5"/>
    <w:rsid w:val="00290F51"/>
    <w:rsid w:val="00292EB7"/>
    <w:rsid w:val="002944FD"/>
    <w:rsid w:val="00294E17"/>
    <w:rsid w:val="00296227"/>
    <w:rsid w:val="00296F44"/>
    <w:rsid w:val="0029745E"/>
    <w:rsid w:val="0029777D"/>
    <w:rsid w:val="002A055E"/>
    <w:rsid w:val="002A10CB"/>
    <w:rsid w:val="002A1D4E"/>
    <w:rsid w:val="002A24B9"/>
    <w:rsid w:val="002A2869"/>
    <w:rsid w:val="002A3D86"/>
    <w:rsid w:val="002B0227"/>
    <w:rsid w:val="002B02E9"/>
    <w:rsid w:val="002B0907"/>
    <w:rsid w:val="002B0C0C"/>
    <w:rsid w:val="002B24D6"/>
    <w:rsid w:val="002B34C5"/>
    <w:rsid w:val="002B4CE9"/>
    <w:rsid w:val="002B71C2"/>
    <w:rsid w:val="002B7230"/>
    <w:rsid w:val="002C18EF"/>
    <w:rsid w:val="002C198E"/>
    <w:rsid w:val="002C282E"/>
    <w:rsid w:val="002C297E"/>
    <w:rsid w:val="002C41E6"/>
    <w:rsid w:val="002C6788"/>
    <w:rsid w:val="002D071A"/>
    <w:rsid w:val="002D0B38"/>
    <w:rsid w:val="002D1464"/>
    <w:rsid w:val="002D2C08"/>
    <w:rsid w:val="002D31E8"/>
    <w:rsid w:val="002D34B2"/>
    <w:rsid w:val="002D4267"/>
    <w:rsid w:val="002D4A15"/>
    <w:rsid w:val="002D565F"/>
    <w:rsid w:val="002D5E41"/>
    <w:rsid w:val="002D60CF"/>
    <w:rsid w:val="002D7225"/>
    <w:rsid w:val="002D7637"/>
    <w:rsid w:val="002E01DD"/>
    <w:rsid w:val="002E05E5"/>
    <w:rsid w:val="002E0CF4"/>
    <w:rsid w:val="002E17F2"/>
    <w:rsid w:val="002E195E"/>
    <w:rsid w:val="002E5484"/>
    <w:rsid w:val="002E61F8"/>
    <w:rsid w:val="002E6D28"/>
    <w:rsid w:val="002E6DDB"/>
    <w:rsid w:val="002E7CAE"/>
    <w:rsid w:val="002E7FE5"/>
    <w:rsid w:val="002F05A6"/>
    <w:rsid w:val="002F121A"/>
    <w:rsid w:val="002F2771"/>
    <w:rsid w:val="002F32D7"/>
    <w:rsid w:val="002F37A9"/>
    <w:rsid w:val="002F4197"/>
    <w:rsid w:val="002F5BBD"/>
    <w:rsid w:val="002F7F8F"/>
    <w:rsid w:val="003000B7"/>
    <w:rsid w:val="00300108"/>
    <w:rsid w:val="003007BA"/>
    <w:rsid w:val="0030127F"/>
    <w:rsid w:val="00301CE6"/>
    <w:rsid w:val="0030256B"/>
    <w:rsid w:val="00302CA2"/>
    <w:rsid w:val="00304123"/>
    <w:rsid w:val="003042A8"/>
    <w:rsid w:val="00304F1A"/>
    <w:rsid w:val="0030501F"/>
    <w:rsid w:val="0030638C"/>
    <w:rsid w:val="00307740"/>
    <w:rsid w:val="00307BA1"/>
    <w:rsid w:val="00310A30"/>
    <w:rsid w:val="003110D0"/>
    <w:rsid w:val="00311702"/>
    <w:rsid w:val="00311CC7"/>
    <w:rsid w:val="00311E82"/>
    <w:rsid w:val="00313FD6"/>
    <w:rsid w:val="00314252"/>
    <w:rsid w:val="003143BD"/>
    <w:rsid w:val="00314D7C"/>
    <w:rsid w:val="003203ED"/>
    <w:rsid w:val="00322C50"/>
    <w:rsid w:val="00322C9F"/>
    <w:rsid w:val="003244F4"/>
    <w:rsid w:val="00324D23"/>
    <w:rsid w:val="003268E0"/>
    <w:rsid w:val="00331751"/>
    <w:rsid w:val="00331B7F"/>
    <w:rsid w:val="00334579"/>
    <w:rsid w:val="00335858"/>
    <w:rsid w:val="00336190"/>
    <w:rsid w:val="0033662A"/>
    <w:rsid w:val="00336BDA"/>
    <w:rsid w:val="00337F45"/>
    <w:rsid w:val="00340CEF"/>
    <w:rsid w:val="0034246D"/>
    <w:rsid w:val="00342BD7"/>
    <w:rsid w:val="003435E5"/>
    <w:rsid w:val="00343A07"/>
    <w:rsid w:val="00344600"/>
    <w:rsid w:val="00346DB5"/>
    <w:rsid w:val="003477B1"/>
    <w:rsid w:val="00354137"/>
    <w:rsid w:val="00357380"/>
    <w:rsid w:val="003602D9"/>
    <w:rsid w:val="003604CE"/>
    <w:rsid w:val="003639EA"/>
    <w:rsid w:val="00365F79"/>
    <w:rsid w:val="0036707C"/>
    <w:rsid w:val="00370E47"/>
    <w:rsid w:val="003742AC"/>
    <w:rsid w:val="003760C2"/>
    <w:rsid w:val="003766F3"/>
    <w:rsid w:val="00377CE1"/>
    <w:rsid w:val="00377CF1"/>
    <w:rsid w:val="00384D0A"/>
    <w:rsid w:val="00385BF0"/>
    <w:rsid w:val="00385C20"/>
    <w:rsid w:val="0038707C"/>
    <w:rsid w:val="003939FF"/>
    <w:rsid w:val="0039565F"/>
    <w:rsid w:val="003964D9"/>
    <w:rsid w:val="00396AEA"/>
    <w:rsid w:val="003972B2"/>
    <w:rsid w:val="003A0931"/>
    <w:rsid w:val="003A1DC8"/>
    <w:rsid w:val="003A1EC8"/>
    <w:rsid w:val="003A2223"/>
    <w:rsid w:val="003A253A"/>
    <w:rsid w:val="003A2A0F"/>
    <w:rsid w:val="003A3A2E"/>
    <w:rsid w:val="003A3F21"/>
    <w:rsid w:val="003A45A1"/>
    <w:rsid w:val="003A596A"/>
    <w:rsid w:val="003A5B0A"/>
    <w:rsid w:val="003A5C65"/>
    <w:rsid w:val="003A5E71"/>
    <w:rsid w:val="003A6BAC"/>
    <w:rsid w:val="003A7C55"/>
    <w:rsid w:val="003A7EF3"/>
    <w:rsid w:val="003B159C"/>
    <w:rsid w:val="003B34DC"/>
    <w:rsid w:val="003B353D"/>
    <w:rsid w:val="003B369F"/>
    <w:rsid w:val="003B36A3"/>
    <w:rsid w:val="003B4E27"/>
    <w:rsid w:val="003B7FE5"/>
    <w:rsid w:val="003C00F9"/>
    <w:rsid w:val="003C0B77"/>
    <w:rsid w:val="003C10F9"/>
    <w:rsid w:val="003C11C8"/>
    <w:rsid w:val="003C2702"/>
    <w:rsid w:val="003C5FD0"/>
    <w:rsid w:val="003C705D"/>
    <w:rsid w:val="003C7224"/>
    <w:rsid w:val="003C7806"/>
    <w:rsid w:val="003D0065"/>
    <w:rsid w:val="003D0CD4"/>
    <w:rsid w:val="003D0D3C"/>
    <w:rsid w:val="003D109F"/>
    <w:rsid w:val="003D11FA"/>
    <w:rsid w:val="003D1A52"/>
    <w:rsid w:val="003D2478"/>
    <w:rsid w:val="003D3C45"/>
    <w:rsid w:val="003D4083"/>
    <w:rsid w:val="003D5958"/>
    <w:rsid w:val="003D5B1F"/>
    <w:rsid w:val="003E15FA"/>
    <w:rsid w:val="003E1E1D"/>
    <w:rsid w:val="003E2192"/>
    <w:rsid w:val="003E25DB"/>
    <w:rsid w:val="003E42EB"/>
    <w:rsid w:val="003E55E4"/>
    <w:rsid w:val="003E5F40"/>
    <w:rsid w:val="003E6625"/>
    <w:rsid w:val="003E74E3"/>
    <w:rsid w:val="003F05C7"/>
    <w:rsid w:val="003F26FA"/>
    <w:rsid w:val="003F2CD4"/>
    <w:rsid w:val="003F3237"/>
    <w:rsid w:val="003F4F68"/>
    <w:rsid w:val="003F6BBE"/>
    <w:rsid w:val="004000E8"/>
    <w:rsid w:val="00402E2B"/>
    <w:rsid w:val="00403A6C"/>
    <w:rsid w:val="0040512B"/>
    <w:rsid w:val="00405CA5"/>
    <w:rsid w:val="00406F67"/>
    <w:rsid w:val="00407CD3"/>
    <w:rsid w:val="00410134"/>
    <w:rsid w:val="00410B3A"/>
    <w:rsid w:val="00410B72"/>
    <w:rsid w:val="00410CC0"/>
    <w:rsid w:val="00410F18"/>
    <w:rsid w:val="0041263E"/>
    <w:rsid w:val="00413AAC"/>
    <w:rsid w:val="00421105"/>
    <w:rsid w:val="0042128B"/>
    <w:rsid w:val="004232CC"/>
    <w:rsid w:val="00423D97"/>
    <w:rsid w:val="00424254"/>
    <w:rsid w:val="004242F4"/>
    <w:rsid w:val="00427248"/>
    <w:rsid w:val="004314DE"/>
    <w:rsid w:val="00431C90"/>
    <w:rsid w:val="0043255D"/>
    <w:rsid w:val="00432EB5"/>
    <w:rsid w:val="004345F3"/>
    <w:rsid w:val="00437447"/>
    <w:rsid w:val="00437A2C"/>
    <w:rsid w:val="00440C56"/>
    <w:rsid w:val="00441A92"/>
    <w:rsid w:val="00444F56"/>
    <w:rsid w:val="00446488"/>
    <w:rsid w:val="00447DDB"/>
    <w:rsid w:val="004517AA"/>
    <w:rsid w:val="00452B53"/>
    <w:rsid w:val="00452B5C"/>
    <w:rsid w:val="00452CAC"/>
    <w:rsid w:val="00457565"/>
    <w:rsid w:val="00457B71"/>
    <w:rsid w:val="0046443E"/>
    <w:rsid w:val="00465327"/>
    <w:rsid w:val="00465518"/>
    <w:rsid w:val="004669E2"/>
    <w:rsid w:val="00470C31"/>
    <w:rsid w:val="00472428"/>
    <w:rsid w:val="004734D0"/>
    <w:rsid w:val="0047447B"/>
    <w:rsid w:val="00474CE8"/>
    <w:rsid w:val="0047556B"/>
    <w:rsid w:val="0047773C"/>
    <w:rsid w:val="00477768"/>
    <w:rsid w:val="00484FD1"/>
    <w:rsid w:val="00487E61"/>
    <w:rsid w:val="004903E5"/>
    <w:rsid w:val="00492BC5"/>
    <w:rsid w:val="004964F1"/>
    <w:rsid w:val="004A163A"/>
    <w:rsid w:val="004A16BC"/>
    <w:rsid w:val="004A2B94"/>
    <w:rsid w:val="004A34FF"/>
    <w:rsid w:val="004B009B"/>
    <w:rsid w:val="004B35D2"/>
    <w:rsid w:val="004B562F"/>
    <w:rsid w:val="004B6991"/>
    <w:rsid w:val="004B7C0C"/>
    <w:rsid w:val="004C0047"/>
    <w:rsid w:val="004C32FC"/>
    <w:rsid w:val="004C3898"/>
    <w:rsid w:val="004C4D69"/>
    <w:rsid w:val="004C4DBF"/>
    <w:rsid w:val="004C6818"/>
    <w:rsid w:val="004C79AA"/>
    <w:rsid w:val="004D0352"/>
    <w:rsid w:val="004D0903"/>
    <w:rsid w:val="004D2230"/>
    <w:rsid w:val="004D36B1"/>
    <w:rsid w:val="004D49A7"/>
    <w:rsid w:val="004D49D5"/>
    <w:rsid w:val="004D4D47"/>
    <w:rsid w:val="004D5728"/>
    <w:rsid w:val="004D7E2A"/>
    <w:rsid w:val="004D7EBD"/>
    <w:rsid w:val="004E0478"/>
    <w:rsid w:val="004E267D"/>
    <w:rsid w:val="004E2680"/>
    <w:rsid w:val="004E28F9"/>
    <w:rsid w:val="004E2C52"/>
    <w:rsid w:val="004E37A7"/>
    <w:rsid w:val="004E3AE8"/>
    <w:rsid w:val="004E3CDF"/>
    <w:rsid w:val="004E422B"/>
    <w:rsid w:val="004E462E"/>
    <w:rsid w:val="004E56DC"/>
    <w:rsid w:val="004E5829"/>
    <w:rsid w:val="004E5C9B"/>
    <w:rsid w:val="004E6B56"/>
    <w:rsid w:val="004E6BC0"/>
    <w:rsid w:val="004E76F4"/>
    <w:rsid w:val="004F02E5"/>
    <w:rsid w:val="004F0B4E"/>
    <w:rsid w:val="004F0B6C"/>
    <w:rsid w:val="004F0F42"/>
    <w:rsid w:val="004F17FD"/>
    <w:rsid w:val="004F2078"/>
    <w:rsid w:val="004F37DB"/>
    <w:rsid w:val="004F4DA3"/>
    <w:rsid w:val="004F5C38"/>
    <w:rsid w:val="00500B4A"/>
    <w:rsid w:val="005035BC"/>
    <w:rsid w:val="0050591F"/>
    <w:rsid w:val="00506557"/>
    <w:rsid w:val="0050677A"/>
    <w:rsid w:val="005108D8"/>
    <w:rsid w:val="005116F9"/>
    <w:rsid w:val="00512A90"/>
    <w:rsid w:val="00512B8E"/>
    <w:rsid w:val="005153A7"/>
    <w:rsid w:val="005219CF"/>
    <w:rsid w:val="005219FF"/>
    <w:rsid w:val="005268BD"/>
    <w:rsid w:val="00527C6D"/>
    <w:rsid w:val="00534B59"/>
    <w:rsid w:val="005366D7"/>
    <w:rsid w:val="00536759"/>
    <w:rsid w:val="00537C62"/>
    <w:rsid w:val="005403DE"/>
    <w:rsid w:val="00543986"/>
    <w:rsid w:val="00544D5B"/>
    <w:rsid w:val="00545E72"/>
    <w:rsid w:val="00546874"/>
    <w:rsid w:val="00546970"/>
    <w:rsid w:val="00546C74"/>
    <w:rsid w:val="005545A9"/>
    <w:rsid w:val="00554829"/>
    <w:rsid w:val="00554E19"/>
    <w:rsid w:val="00555435"/>
    <w:rsid w:val="0055543F"/>
    <w:rsid w:val="00556BCC"/>
    <w:rsid w:val="00557D7C"/>
    <w:rsid w:val="0056121F"/>
    <w:rsid w:val="00562566"/>
    <w:rsid w:val="00562F24"/>
    <w:rsid w:val="00564CB3"/>
    <w:rsid w:val="00566E2B"/>
    <w:rsid w:val="005678FF"/>
    <w:rsid w:val="00567FB5"/>
    <w:rsid w:val="00570019"/>
    <w:rsid w:val="00570164"/>
    <w:rsid w:val="0057036A"/>
    <w:rsid w:val="00570C8D"/>
    <w:rsid w:val="00570F1B"/>
    <w:rsid w:val="00571F3E"/>
    <w:rsid w:val="00572505"/>
    <w:rsid w:val="005729F7"/>
    <w:rsid w:val="0057317A"/>
    <w:rsid w:val="00575848"/>
    <w:rsid w:val="00582809"/>
    <w:rsid w:val="0058289B"/>
    <w:rsid w:val="00586EB3"/>
    <w:rsid w:val="00586FFF"/>
    <w:rsid w:val="0058798C"/>
    <w:rsid w:val="005900FA"/>
    <w:rsid w:val="0059095E"/>
    <w:rsid w:val="005918E9"/>
    <w:rsid w:val="005935A4"/>
    <w:rsid w:val="00593986"/>
    <w:rsid w:val="005948C2"/>
    <w:rsid w:val="00595DCA"/>
    <w:rsid w:val="00595EC8"/>
    <w:rsid w:val="005969BD"/>
    <w:rsid w:val="005976AB"/>
    <w:rsid w:val="0059779B"/>
    <w:rsid w:val="005A0A5B"/>
    <w:rsid w:val="005A209A"/>
    <w:rsid w:val="005A61E5"/>
    <w:rsid w:val="005A662D"/>
    <w:rsid w:val="005A748E"/>
    <w:rsid w:val="005B03A6"/>
    <w:rsid w:val="005B06F5"/>
    <w:rsid w:val="005B161E"/>
    <w:rsid w:val="005B35D7"/>
    <w:rsid w:val="005B392A"/>
    <w:rsid w:val="005B3AA3"/>
    <w:rsid w:val="005B3F59"/>
    <w:rsid w:val="005B4289"/>
    <w:rsid w:val="005B4308"/>
    <w:rsid w:val="005B6F83"/>
    <w:rsid w:val="005C0B51"/>
    <w:rsid w:val="005C0C58"/>
    <w:rsid w:val="005C4B57"/>
    <w:rsid w:val="005C5E79"/>
    <w:rsid w:val="005C74FB"/>
    <w:rsid w:val="005D1602"/>
    <w:rsid w:val="005D22E6"/>
    <w:rsid w:val="005D326A"/>
    <w:rsid w:val="005D5B93"/>
    <w:rsid w:val="005E0E63"/>
    <w:rsid w:val="005E0F14"/>
    <w:rsid w:val="005E1430"/>
    <w:rsid w:val="005E1A85"/>
    <w:rsid w:val="005E385F"/>
    <w:rsid w:val="005E39CE"/>
    <w:rsid w:val="005E400F"/>
    <w:rsid w:val="005E4C46"/>
    <w:rsid w:val="005E5469"/>
    <w:rsid w:val="005E5B81"/>
    <w:rsid w:val="005E6AAA"/>
    <w:rsid w:val="005E6B9A"/>
    <w:rsid w:val="005E6D90"/>
    <w:rsid w:val="005F10E8"/>
    <w:rsid w:val="005F219B"/>
    <w:rsid w:val="005F2AFA"/>
    <w:rsid w:val="005F2CB1"/>
    <w:rsid w:val="005F3025"/>
    <w:rsid w:val="005F5CA4"/>
    <w:rsid w:val="005F618C"/>
    <w:rsid w:val="005F70BD"/>
    <w:rsid w:val="005F70DE"/>
    <w:rsid w:val="00600013"/>
    <w:rsid w:val="00601F06"/>
    <w:rsid w:val="0060283C"/>
    <w:rsid w:val="00603B36"/>
    <w:rsid w:val="00604256"/>
    <w:rsid w:val="00604F14"/>
    <w:rsid w:val="006118FC"/>
    <w:rsid w:val="00611B83"/>
    <w:rsid w:val="0061208A"/>
    <w:rsid w:val="00613010"/>
    <w:rsid w:val="00613257"/>
    <w:rsid w:val="00613C8A"/>
    <w:rsid w:val="00617C2C"/>
    <w:rsid w:val="00620A71"/>
    <w:rsid w:val="00620D80"/>
    <w:rsid w:val="00620DC3"/>
    <w:rsid w:val="00621B29"/>
    <w:rsid w:val="00622F44"/>
    <w:rsid w:val="006234A6"/>
    <w:rsid w:val="0062431E"/>
    <w:rsid w:val="006249B3"/>
    <w:rsid w:val="00624B66"/>
    <w:rsid w:val="00625318"/>
    <w:rsid w:val="00630001"/>
    <w:rsid w:val="00630264"/>
    <w:rsid w:val="00630BA7"/>
    <w:rsid w:val="006311B3"/>
    <w:rsid w:val="0063284C"/>
    <w:rsid w:val="00635F58"/>
    <w:rsid w:val="00636398"/>
    <w:rsid w:val="0063651F"/>
    <w:rsid w:val="006368D3"/>
    <w:rsid w:val="00637247"/>
    <w:rsid w:val="006377EC"/>
    <w:rsid w:val="00637EB7"/>
    <w:rsid w:val="0064151F"/>
    <w:rsid w:val="00641533"/>
    <w:rsid w:val="0064208D"/>
    <w:rsid w:val="00642F3E"/>
    <w:rsid w:val="00643102"/>
    <w:rsid w:val="00643475"/>
    <w:rsid w:val="006438EE"/>
    <w:rsid w:val="0064396A"/>
    <w:rsid w:val="006447D1"/>
    <w:rsid w:val="0064624E"/>
    <w:rsid w:val="00646313"/>
    <w:rsid w:val="0064715B"/>
    <w:rsid w:val="00650AB9"/>
    <w:rsid w:val="00652923"/>
    <w:rsid w:val="00655733"/>
    <w:rsid w:val="00655ACD"/>
    <w:rsid w:val="00656734"/>
    <w:rsid w:val="00656A92"/>
    <w:rsid w:val="00656DDE"/>
    <w:rsid w:val="00660020"/>
    <w:rsid w:val="0066011D"/>
    <w:rsid w:val="006607C0"/>
    <w:rsid w:val="006613A6"/>
    <w:rsid w:val="006627A2"/>
    <w:rsid w:val="00662E0C"/>
    <w:rsid w:val="00663455"/>
    <w:rsid w:val="00663469"/>
    <w:rsid w:val="006634E6"/>
    <w:rsid w:val="00664C16"/>
    <w:rsid w:val="006655EE"/>
    <w:rsid w:val="00667EE7"/>
    <w:rsid w:val="00670000"/>
    <w:rsid w:val="00670922"/>
    <w:rsid w:val="00670BE1"/>
    <w:rsid w:val="006710D8"/>
    <w:rsid w:val="006720B3"/>
    <w:rsid w:val="0067218F"/>
    <w:rsid w:val="006741F2"/>
    <w:rsid w:val="00674CC3"/>
    <w:rsid w:val="00674F55"/>
    <w:rsid w:val="00675B5F"/>
    <w:rsid w:val="00675C72"/>
    <w:rsid w:val="00676157"/>
    <w:rsid w:val="00676D03"/>
    <w:rsid w:val="006771F9"/>
    <w:rsid w:val="006776D7"/>
    <w:rsid w:val="006808A0"/>
    <w:rsid w:val="00681003"/>
    <w:rsid w:val="006817C9"/>
    <w:rsid w:val="00683118"/>
    <w:rsid w:val="00683ECE"/>
    <w:rsid w:val="006842B9"/>
    <w:rsid w:val="00685147"/>
    <w:rsid w:val="00686E10"/>
    <w:rsid w:val="006876D5"/>
    <w:rsid w:val="00691E97"/>
    <w:rsid w:val="00695FC2"/>
    <w:rsid w:val="00696949"/>
    <w:rsid w:val="00697052"/>
    <w:rsid w:val="0069729E"/>
    <w:rsid w:val="0069791B"/>
    <w:rsid w:val="006A0A1C"/>
    <w:rsid w:val="006A0E90"/>
    <w:rsid w:val="006A1D9B"/>
    <w:rsid w:val="006A36EF"/>
    <w:rsid w:val="006A46FB"/>
    <w:rsid w:val="006A5717"/>
    <w:rsid w:val="006A5E28"/>
    <w:rsid w:val="006A697B"/>
    <w:rsid w:val="006A70FC"/>
    <w:rsid w:val="006A7AFF"/>
    <w:rsid w:val="006B1816"/>
    <w:rsid w:val="006B2099"/>
    <w:rsid w:val="006B32FA"/>
    <w:rsid w:val="006B4B81"/>
    <w:rsid w:val="006B50CF"/>
    <w:rsid w:val="006B5BE6"/>
    <w:rsid w:val="006B6278"/>
    <w:rsid w:val="006B6866"/>
    <w:rsid w:val="006C03B8"/>
    <w:rsid w:val="006C3409"/>
    <w:rsid w:val="006C5761"/>
    <w:rsid w:val="006C5BA8"/>
    <w:rsid w:val="006C5EC9"/>
    <w:rsid w:val="006C5F7D"/>
    <w:rsid w:val="006C6059"/>
    <w:rsid w:val="006C7522"/>
    <w:rsid w:val="006D048F"/>
    <w:rsid w:val="006D1623"/>
    <w:rsid w:val="006D209E"/>
    <w:rsid w:val="006D20E1"/>
    <w:rsid w:val="006D2139"/>
    <w:rsid w:val="006D240D"/>
    <w:rsid w:val="006D2CB6"/>
    <w:rsid w:val="006D6F08"/>
    <w:rsid w:val="006E062C"/>
    <w:rsid w:val="006E1725"/>
    <w:rsid w:val="006E28B7"/>
    <w:rsid w:val="006E3310"/>
    <w:rsid w:val="006E3F07"/>
    <w:rsid w:val="006E4E39"/>
    <w:rsid w:val="006E565E"/>
    <w:rsid w:val="006E673D"/>
    <w:rsid w:val="006E7D3B"/>
    <w:rsid w:val="006F03E4"/>
    <w:rsid w:val="006F07CC"/>
    <w:rsid w:val="006F0E91"/>
    <w:rsid w:val="006F14F2"/>
    <w:rsid w:val="006F1B70"/>
    <w:rsid w:val="006F276B"/>
    <w:rsid w:val="006F341D"/>
    <w:rsid w:val="006F3CDE"/>
    <w:rsid w:val="006F4B23"/>
    <w:rsid w:val="006F58D4"/>
    <w:rsid w:val="006F642D"/>
    <w:rsid w:val="006F67BF"/>
    <w:rsid w:val="0070162F"/>
    <w:rsid w:val="00701692"/>
    <w:rsid w:val="0070346E"/>
    <w:rsid w:val="00703C66"/>
    <w:rsid w:val="00704EDB"/>
    <w:rsid w:val="00706101"/>
    <w:rsid w:val="0070655A"/>
    <w:rsid w:val="00706DC5"/>
    <w:rsid w:val="00707072"/>
    <w:rsid w:val="00707D61"/>
    <w:rsid w:val="00711B0A"/>
    <w:rsid w:val="00711CA1"/>
    <w:rsid w:val="00712287"/>
    <w:rsid w:val="00712772"/>
    <w:rsid w:val="007129DA"/>
    <w:rsid w:val="00713C24"/>
    <w:rsid w:val="007148D3"/>
    <w:rsid w:val="0071565A"/>
    <w:rsid w:val="00715B9A"/>
    <w:rsid w:val="00716F2B"/>
    <w:rsid w:val="00716F2E"/>
    <w:rsid w:val="0071747C"/>
    <w:rsid w:val="00720D98"/>
    <w:rsid w:val="007252CE"/>
    <w:rsid w:val="00726EA6"/>
    <w:rsid w:val="00727208"/>
    <w:rsid w:val="00727680"/>
    <w:rsid w:val="00730A5D"/>
    <w:rsid w:val="00731109"/>
    <w:rsid w:val="00733A03"/>
    <w:rsid w:val="00733CB3"/>
    <w:rsid w:val="007348B1"/>
    <w:rsid w:val="007362A6"/>
    <w:rsid w:val="007369A2"/>
    <w:rsid w:val="00736D7D"/>
    <w:rsid w:val="00740E58"/>
    <w:rsid w:val="00742086"/>
    <w:rsid w:val="00742371"/>
    <w:rsid w:val="007445A0"/>
    <w:rsid w:val="0074524B"/>
    <w:rsid w:val="007459A9"/>
    <w:rsid w:val="007472D1"/>
    <w:rsid w:val="0074793C"/>
    <w:rsid w:val="00747D8B"/>
    <w:rsid w:val="00750E8F"/>
    <w:rsid w:val="00751228"/>
    <w:rsid w:val="00751D0E"/>
    <w:rsid w:val="007522D8"/>
    <w:rsid w:val="00753C5D"/>
    <w:rsid w:val="007557B4"/>
    <w:rsid w:val="007557E6"/>
    <w:rsid w:val="007566E1"/>
    <w:rsid w:val="007571E1"/>
    <w:rsid w:val="007604B2"/>
    <w:rsid w:val="00760DD8"/>
    <w:rsid w:val="0076267E"/>
    <w:rsid w:val="00763252"/>
    <w:rsid w:val="00765281"/>
    <w:rsid w:val="00766BAD"/>
    <w:rsid w:val="007705B8"/>
    <w:rsid w:val="007730BD"/>
    <w:rsid w:val="00773F17"/>
    <w:rsid w:val="00775163"/>
    <w:rsid w:val="007755F2"/>
    <w:rsid w:val="0077585D"/>
    <w:rsid w:val="00776971"/>
    <w:rsid w:val="00777130"/>
    <w:rsid w:val="00777E81"/>
    <w:rsid w:val="0078177E"/>
    <w:rsid w:val="0078304C"/>
    <w:rsid w:val="00783673"/>
    <w:rsid w:val="007845DC"/>
    <w:rsid w:val="00785490"/>
    <w:rsid w:val="00785F5E"/>
    <w:rsid w:val="00787B08"/>
    <w:rsid w:val="00787F50"/>
    <w:rsid w:val="0079075E"/>
    <w:rsid w:val="00791306"/>
    <w:rsid w:val="007925EA"/>
    <w:rsid w:val="00793CD8"/>
    <w:rsid w:val="007955C7"/>
    <w:rsid w:val="00795C92"/>
    <w:rsid w:val="00795EEA"/>
    <w:rsid w:val="00796231"/>
    <w:rsid w:val="00796B46"/>
    <w:rsid w:val="00797D7F"/>
    <w:rsid w:val="007A1CB3"/>
    <w:rsid w:val="007A306F"/>
    <w:rsid w:val="007A43A6"/>
    <w:rsid w:val="007A512C"/>
    <w:rsid w:val="007A58A6"/>
    <w:rsid w:val="007A7157"/>
    <w:rsid w:val="007B2D63"/>
    <w:rsid w:val="007B3632"/>
    <w:rsid w:val="007B3D2D"/>
    <w:rsid w:val="007B50AE"/>
    <w:rsid w:val="007B51DF"/>
    <w:rsid w:val="007B5283"/>
    <w:rsid w:val="007B5ADA"/>
    <w:rsid w:val="007B71A3"/>
    <w:rsid w:val="007C05DD"/>
    <w:rsid w:val="007C3A05"/>
    <w:rsid w:val="007C3D18"/>
    <w:rsid w:val="007C60BF"/>
    <w:rsid w:val="007C6A07"/>
    <w:rsid w:val="007C75A1"/>
    <w:rsid w:val="007C77A5"/>
    <w:rsid w:val="007D04E5"/>
    <w:rsid w:val="007D1315"/>
    <w:rsid w:val="007D173E"/>
    <w:rsid w:val="007D1938"/>
    <w:rsid w:val="007D304B"/>
    <w:rsid w:val="007D3825"/>
    <w:rsid w:val="007D386C"/>
    <w:rsid w:val="007D3CA6"/>
    <w:rsid w:val="007D43F4"/>
    <w:rsid w:val="007D497F"/>
    <w:rsid w:val="007D5506"/>
    <w:rsid w:val="007D5901"/>
    <w:rsid w:val="007D7159"/>
    <w:rsid w:val="007D7526"/>
    <w:rsid w:val="007D7912"/>
    <w:rsid w:val="007E1602"/>
    <w:rsid w:val="007E3E0A"/>
    <w:rsid w:val="007E4610"/>
    <w:rsid w:val="007E4715"/>
    <w:rsid w:val="007E505B"/>
    <w:rsid w:val="007E5D1B"/>
    <w:rsid w:val="007E5DCE"/>
    <w:rsid w:val="007E7091"/>
    <w:rsid w:val="007F09D8"/>
    <w:rsid w:val="007F4F6E"/>
    <w:rsid w:val="007F565E"/>
    <w:rsid w:val="007F7A9E"/>
    <w:rsid w:val="00800ED0"/>
    <w:rsid w:val="00803FAE"/>
    <w:rsid w:val="008041A9"/>
    <w:rsid w:val="00804708"/>
    <w:rsid w:val="00805E0E"/>
    <w:rsid w:val="0080605F"/>
    <w:rsid w:val="00807786"/>
    <w:rsid w:val="00811FCB"/>
    <w:rsid w:val="00812072"/>
    <w:rsid w:val="00814FE6"/>
    <w:rsid w:val="008158D6"/>
    <w:rsid w:val="00817196"/>
    <w:rsid w:val="0081782A"/>
    <w:rsid w:val="00817EC7"/>
    <w:rsid w:val="0082247E"/>
    <w:rsid w:val="0082276B"/>
    <w:rsid w:val="008235DB"/>
    <w:rsid w:val="00823827"/>
    <w:rsid w:val="008247D6"/>
    <w:rsid w:val="00824AB4"/>
    <w:rsid w:val="00824C26"/>
    <w:rsid w:val="00825B3C"/>
    <w:rsid w:val="00825C42"/>
    <w:rsid w:val="00825D25"/>
    <w:rsid w:val="00826F90"/>
    <w:rsid w:val="00827D6F"/>
    <w:rsid w:val="008305BD"/>
    <w:rsid w:val="00830A27"/>
    <w:rsid w:val="00831CDF"/>
    <w:rsid w:val="008323AE"/>
    <w:rsid w:val="008343D8"/>
    <w:rsid w:val="00835287"/>
    <w:rsid w:val="00835D7E"/>
    <w:rsid w:val="008365E8"/>
    <w:rsid w:val="0083666B"/>
    <w:rsid w:val="00836B3D"/>
    <w:rsid w:val="008376AC"/>
    <w:rsid w:val="00840358"/>
    <w:rsid w:val="0084390D"/>
    <w:rsid w:val="0084411A"/>
    <w:rsid w:val="008444E8"/>
    <w:rsid w:val="0084484D"/>
    <w:rsid w:val="00844E80"/>
    <w:rsid w:val="008457DE"/>
    <w:rsid w:val="00846FE7"/>
    <w:rsid w:val="0085128C"/>
    <w:rsid w:val="00851771"/>
    <w:rsid w:val="00852D00"/>
    <w:rsid w:val="00855090"/>
    <w:rsid w:val="00856911"/>
    <w:rsid w:val="00856EFA"/>
    <w:rsid w:val="00860E7F"/>
    <w:rsid w:val="0086172A"/>
    <w:rsid w:val="00862D79"/>
    <w:rsid w:val="008632AD"/>
    <w:rsid w:val="008641A8"/>
    <w:rsid w:val="00864766"/>
    <w:rsid w:val="008648B3"/>
    <w:rsid w:val="008649AD"/>
    <w:rsid w:val="00865873"/>
    <w:rsid w:val="008677FD"/>
    <w:rsid w:val="00867D75"/>
    <w:rsid w:val="008706D4"/>
    <w:rsid w:val="00870F8A"/>
    <w:rsid w:val="008719A4"/>
    <w:rsid w:val="00871D23"/>
    <w:rsid w:val="00874312"/>
    <w:rsid w:val="0087437C"/>
    <w:rsid w:val="0087541F"/>
    <w:rsid w:val="00875CD7"/>
    <w:rsid w:val="00876B4D"/>
    <w:rsid w:val="00877F18"/>
    <w:rsid w:val="008803FA"/>
    <w:rsid w:val="00882399"/>
    <w:rsid w:val="00883405"/>
    <w:rsid w:val="00884717"/>
    <w:rsid w:val="008903FE"/>
    <w:rsid w:val="00890DEA"/>
    <w:rsid w:val="00894A88"/>
    <w:rsid w:val="00895386"/>
    <w:rsid w:val="008953CB"/>
    <w:rsid w:val="00895561"/>
    <w:rsid w:val="00895AD9"/>
    <w:rsid w:val="008967DC"/>
    <w:rsid w:val="008A21FF"/>
    <w:rsid w:val="008A2CE2"/>
    <w:rsid w:val="008A30AC"/>
    <w:rsid w:val="008A44B8"/>
    <w:rsid w:val="008A4A5E"/>
    <w:rsid w:val="008A51A8"/>
    <w:rsid w:val="008A54C7"/>
    <w:rsid w:val="008A77D8"/>
    <w:rsid w:val="008A7A95"/>
    <w:rsid w:val="008B046A"/>
    <w:rsid w:val="008B0483"/>
    <w:rsid w:val="008B120C"/>
    <w:rsid w:val="008B3562"/>
    <w:rsid w:val="008B51A0"/>
    <w:rsid w:val="008B592A"/>
    <w:rsid w:val="008B6A80"/>
    <w:rsid w:val="008B6FA4"/>
    <w:rsid w:val="008B73A9"/>
    <w:rsid w:val="008B7B5C"/>
    <w:rsid w:val="008C0187"/>
    <w:rsid w:val="008C0C99"/>
    <w:rsid w:val="008C1631"/>
    <w:rsid w:val="008C2017"/>
    <w:rsid w:val="008C20D7"/>
    <w:rsid w:val="008C392C"/>
    <w:rsid w:val="008C48E6"/>
    <w:rsid w:val="008C4958"/>
    <w:rsid w:val="008C4BAA"/>
    <w:rsid w:val="008C5A7F"/>
    <w:rsid w:val="008C5DC2"/>
    <w:rsid w:val="008C6AE8"/>
    <w:rsid w:val="008C7573"/>
    <w:rsid w:val="008D1A14"/>
    <w:rsid w:val="008D34F1"/>
    <w:rsid w:val="008D39D8"/>
    <w:rsid w:val="008D413B"/>
    <w:rsid w:val="008D6B4F"/>
    <w:rsid w:val="008D6D1A"/>
    <w:rsid w:val="008E065E"/>
    <w:rsid w:val="008E0927"/>
    <w:rsid w:val="008E1909"/>
    <w:rsid w:val="008E4ACF"/>
    <w:rsid w:val="008E6A84"/>
    <w:rsid w:val="008F1821"/>
    <w:rsid w:val="008F1EAB"/>
    <w:rsid w:val="008F2ABE"/>
    <w:rsid w:val="008F33DC"/>
    <w:rsid w:val="008F477F"/>
    <w:rsid w:val="008F4C47"/>
    <w:rsid w:val="008F725C"/>
    <w:rsid w:val="00902350"/>
    <w:rsid w:val="00902F18"/>
    <w:rsid w:val="0090336B"/>
    <w:rsid w:val="0090373D"/>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762E"/>
    <w:rsid w:val="00931BD9"/>
    <w:rsid w:val="00935A94"/>
    <w:rsid w:val="00935B32"/>
    <w:rsid w:val="009366A5"/>
    <w:rsid w:val="00936873"/>
    <w:rsid w:val="009368F3"/>
    <w:rsid w:val="009413F8"/>
    <w:rsid w:val="009414E8"/>
    <w:rsid w:val="00941636"/>
    <w:rsid w:val="0094298D"/>
    <w:rsid w:val="00943742"/>
    <w:rsid w:val="00943F21"/>
    <w:rsid w:val="00945C05"/>
    <w:rsid w:val="00946945"/>
    <w:rsid w:val="00947713"/>
    <w:rsid w:val="00950DE7"/>
    <w:rsid w:val="009525B1"/>
    <w:rsid w:val="00952823"/>
    <w:rsid w:val="00953920"/>
    <w:rsid w:val="00953D47"/>
    <w:rsid w:val="0095681E"/>
    <w:rsid w:val="009572D4"/>
    <w:rsid w:val="00957CC8"/>
    <w:rsid w:val="00961148"/>
    <w:rsid w:val="009617E2"/>
    <w:rsid w:val="00961921"/>
    <w:rsid w:val="0096430A"/>
    <w:rsid w:val="0096518D"/>
    <w:rsid w:val="0096554B"/>
    <w:rsid w:val="0096584A"/>
    <w:rsid w:val="00971F08"/>
    <w:rsid w:val="00975A11"/>
    <w:rsid w:val="0097603D"/>
    <w:rsid w:val="00976949"/>
    <w:rsid w:val="00976E66"/>
    <w:rsid w:val="00980477"/>
    <w:rsid w:val="00980E90"/>
    <w:rsid w:val="009810A2"/>
    <w:rsid w:val="00981653"/>
    <w:rsid w:val="0098381D"/>
    <w:rsid w:val="00983A7C"/>
    <w:rsid w:val="00984FDD"/>
    <w:rsid w:val="00985253"/>
    <w:rsid w:val="009853B3"/>
    <w:rsid w:val="0098620A"/>
    <w:rsid w:val="0098632C"/>
    <w:rsid w:val="00987938"/>
    <w:rsid w:val="00990630"/>
    <w:rsid w:val="00991761"/>
    <w:rsid w:val="009921F5"/>
    <w:rsid w:val="00992A22"/>
    <w:rsid w:val="00993A9C"/>
    <w:rsid w:val="0099417A"/>
    <w:rsid w:val="00994DCA"/>
    <w:rsid w:val="00995A19"/>
    <w:rsid w:val="009960EC"/>
    <w:rsid w:val="009970DD"/>
    <w:rsid w:val="009A0FBA"/>
    <w:rsid w:val="009A1601"/>
    <w:rsid w:val="009A462D"/>
    <w:rsid w:val="009A5835"/>
    <w:rsid w:val="009A5CBA"/>
    <w:rsid w:val="009A6F00"/>
    <w:rsid w:val="009A6F0E"/>
    <w:rsid w:val="009B1995"/>
    <w:rsid w:val="009B1F30"/>
    <w:rsid w:val="009B3AC2"/>
    <w:rsid w:val="009B4DF4"/>
    <w:rsid w:val="009B4FF0"/>
    <w:rsid w:val="009B564E"/>
    <w:rsid w:val="009B786D"/>
    <w:rsid w:val="009B7E87"/>
    <w:rsid w:val="009C04E4"/>
    <w:rsid w:val="009C0EEC"/>
    <w:rsid w:val="009C11C1"/>
    <w:rsid w:val="009C2D17"/>
    <w:rsid w:val="009C403E"/>
    <w:rsid w:val="009C4043"/>
    <w:rsid w:val="009C5D6A"/>
    <w:rsid w:val="009D21C2"/>
    <w:rsid w:val="009D4FF0"/>
    <w:rsid w:val="009D6F94"/>
    <w:rsid w:val="009D703C"/>
    <w:rsid w:val="009D718F"/>
    <w:rsid w:val="009E068F"/>
    <w:rsid w:val="009E08F5"/>
    <w:rsid w:val="009E14E0"/>
    <w:rsid w:val="009E15E8"/>
    <w:rsid w:val="009E35DB"/>
    <w:rsid w:val="009E47A3"/>
    <w:rsid w:val="009E6849"/>
    <w:rsid w:val="009F08F3"/>
    <w:rsid w:val="009F18A9"/>
    <w:rsid w:val="009F2CA0"/>
    <w:rsid w:val="009F344F"/>
    <w:rsid w:val="009F38BE"/>
    <w:rsid w:val="009F7898"/>
    <w:rsid w:val="00A02E75"/>
    <w:rsid w:val="00A0343B"/>
    <w:rsid w:val="00A048A8"/>
    <w:rsid w:val="00A04F49"/>
    <w:rsid w:val="00A053BC"/>
    <w:rsid w:val="00A10887"/>
    <w:rsid w:val="00A13806"/>
    <w:rsid w:val="00A13E54"/>
    <w:rsid w:val="00A16DB6"/>
    <w:rsid w:val="00A17B8C"/>
    <w:rsid w:val="00A17F63"/>
    <w:rsid w:val="00A207DD"/>
    <w:rsid w:val="00A21924"/>
    <w:rsid w:val="00A2193B"/>
    <w:rsid w:val="00A220BC"/>
    <w:rsid w:val="00A2351A"/>
    <w:rsid w:val="00A264A9"/>
    <w:rsid w:val="00A27342"/>
    <w:rsid w:val="00A275C6"/>
    <w:rsid w:val="00A27785"/>
    <w:rsid w:val="00A30187"/>
    <w:rsid w:val="00A3448A"/>
    <w:rsid w:val="00A36297"/>
    <w:rsid w:val="00A40019"/>
    <w:rsid w:val="00A415A6"/>
    <w:rsid w:val="00A41B97"/>
    <w:rsid w:val="00A41E2B"/>
    <w:rsid w:val="00A41E67"/>
    <w:rsid w:val="00A4298E"/>
    <w:rsid w:val="00A447CB"/>
    <w:rsid w:val="00A45B74"/>
    <w:rsid w:val="00A46C79"/>
    <w:rsid w:val="00A478DC"/>
    <w:rsid w:val="00A500D6"/>
    <w:rsid w:val="00A52E1D"/>
    <w:rsid w:val="00A54176"/>
    <w:rsid w:val="00A54210"/>
    <w:rsid w:val="00A54B08"/>
    <w:rsid w:val="00A55AB0"/>
    <w:rsid w:val="00A570F2"/>
    <w:rsid w:val="00A5758B"/>
    <w:rsid w:val="00A607F0"/>
    <w:rsid w:val="00A613DB"/>
    <w:rsid w:val="00A61499"/>
    <w:rsid w:val="00A62A77"/>
    <w:rsid w:val="00A63483"/>
    <w:rsid w:val="00A64496"/>
    <w:rsid w:val="00A653DB"/>
    <w:rsid w:val="00A657D7"/>
    <w:rsid w:val="00A660AC"/>
    <w:rsid w:val="00A67E6C"/>
    <w:rsid w:val="00A71B99"/>
    <w:rsid w:val="00A7315F"/>
    <w:rsid w:val="00A739D0"/>
    <w:rsid w:val="00A755D2"/>
    <w:rsid w:val="00A761D4"/>
    <w:rsid w:val="00A76739"/>
    <w:rsid w:val="00A77441"/>
    <w:rsid w:val="00A7758A"/>
    <w:rsid w:val="00A77EC4"/>
    <w:rsid w:val="00A8002A"/>
    <w:rsid w:val="00A8033B"/>
    <w:rsid w:val="00A80920"/>
    <w:rsid w:val="00A825E5"/>
    <w:rsid w:val="00A86328"/>
    <w:rsid w:val="00A9018C"/>
    <w:rsid w:val="00A9122E"/>
    <w:rsid w:val="00A92879"/>
    <w:rsid w:val="00A9367F"/>
    <w:rsid w:val="00A93F55"/>
    <w:rsid w:val="00A93FC2"/>
    <w:rsid w:val="00A9442A"/>
    <w:rsid w:val="00A94AD8"/>
    <w:rsid w:val="00A955E0"/>
    <w:rsid w:val="00A95CF5"/>
    <w:rsid w:val="00A967B9"/>
    <w:rsid w:val="00AA016F"/>
    <w:rsid w:val="00AA0356"/>
    <w:rsid w:val="00AA1ED6"/>
    <w:rsid w:val="00AA3A6B"/>
    <w:rsid w:val="00AA3BFA"/>
    <w:rsid w:val="00AA4801"/>
    <w:rsid w:val="00AA51D6"/>
    <w:rsid w:val="00AA7B3A"/>
    <w:rsid w:val="00AB0B44"/>
    <w:rsid w:val="00AB0BC8"/>
    <w:rsid w:val="00AB11CA"/>
    <w:rsid w:val="00AB14D9"/>
    <w:rsid w:val="00AB1598"/>
    <w:rsid w:val="00AB1AE8"/>
    <w:rsid w:val="00AB2646"/>
    <w:rsid w:val="00AB2EE5"/>
    <w:rsid w:val="00AB4AB8"/>
    <w:rsid w:val="00AB655E"/>
    <w:rsid w:val="00AB67C8"/>
    <w:rsid w:val="00AC007F"/>
    <w:rsid w:val="00AC2ECD"/>
    <w:rsid w:val="00AC3119"/>
    <w:rsid w:val="00AC49FB"/>
    <w:rsid w:val="00AC4B2B"/>
    <w:rsid w:val="00AC4DFF"/>
    <w:rsid w:val="00AC5A10"/>
    <w:rsid w:val="00AD0AA3"/>
    <w:rsid w:val="00AD24F6"/>
    <w:rsid w:val="00AD3F94"/>
    <w:rsid w:val="00AD4A5A"/>
    <w:rsid w:val="00AD571B"/>
    <w:rsid w:val="00AD6819"/>
    <w:rsid w:val="00AD791E"/>
    <w:rsid w:val="00AE1921"/>
    <w:rsid w:val="00AE27AC"/>
    <w:rsid w:val="00AE3270"/>
    <w:rsid w:val="00AE40E0"/>
    <w:rsid w:val="00AE4DBA"/>
    <w:rsid w:val="00AE4F07"/>
    <w:rsid w:val="00AE5AE8"/>
    <w:rsid w:val="00AE6B15"/>
    <w:rsid w:val="00AE6B46"/>
    <w:rsid w:val="00AE6CFE"/>
    <w:rsid w:val="00AE78D3"/>
    <w:rsid w:val="00AE7CA0"/>
    <w:rsid w:val="00AF0A19"/>
    <w:rsid w:val="00AF1A85"/>
    <w:rsid w:val="00AF1C5D"/>
    <w:rsid w:val="00AF282B"/>
    <w:rsid w:val="00AF42D7"/>
    <w:rsid w:val="00AF7513"/>
    <w:rsid w:val="00B006FE"/>
    <w:rsid w:val="00B007CB"/>
    <w:rsid w:val="00B014C3"/>
    <w:rsid w:val="00B026B6"/>
    <w:rsid w:val="00B02AA9"/>
    <w:rsid w:val="00B02FA3"/>
    <w:rsid w:val="00B04ACC"/>
    <w:rsid w:val="00B05084"/>
    <w:rsid w:val="00B05522"/>
    <w:rsid w:val="00B05920"/>
    <w:rsid w:val="00B07227"/>
    <w:rsid w:val="00B07C49"/>
    <w:rsid w:val="00B10020"/>
    <w:rsid w:val="00B1095E"/>
    <w:rsid w:val="00B11466"/>
    <w:rsid w:val="00B119E8"/>
    <w:rsid w:val="00B1337F"/>
    <w:rsid w:val="00B13B4D"/>
    <w:rsid w:val="00B14ACA"/>
    <w:rsid w:val="00B157F9"/>
    <w:rsid w:val="00B173F8"/>
    <w:rsid w:val="00B20256"/>
    <w:rsid w:val="00B20636"/>
    <w:rsid w:val="00B20D09"/>
    <w:rsid w:val="00B23B09"/>
    <w:rsid w:val="00B273AB"/>
    <w:rsid w:val="00B2763F"/>
    <w:rsid w:val="00B27AAC"/>
    <w:rsid w:val="00B30929"/>
    <w:rsid w:val="00B311E9"/>
    <w:rsid w:val="00B32465"/>
    <w:rsid w:val="00B372AA"/>
    <w:rsid w:val="00B40445"/>
    <w:rsid w:val="00B41659"/>
    <w:rsid w:val="00B41888"/>
    <w:rsid w:val="00B4408D"/>
    <w:rsid w:val="00B453B9"/>
    <w:rsid w:val="00B45A52"/>
    <w:rsid w:val="00B46175"/>
    <w:rsid w:val="00B47E43"/>
    <w:rsid w:val="00B5198C"/>
    <w:rsid w:val="00B52376"/>
    <w:rsid w:val="00B5335A"/>
    <w:rsid w:val="00B54282"/>
    <w:rsid w:val="00B5723B"/>
    <w:rsid w:val="00B5724B"/>
    <w:rsid w:val="00B60EF1"/>
    <w:rsid w:val="00B6188F"/>
    <w:rsid w:val="00B63CB8"/>
    <w:rsid w:val="00B64E41"/>
    <w:rsid w:val="00B6526E"/>
    <w:rsid w:val="00B664C7"/>
    <w:rsid w:val="00B739F6"/>
    <w:rsid w:val="00B77590"/>
    <w:rsid w:val="00B77C6F"/>
    <w:rsid w:val="00B80671"/>
    <w:rsid w:val="00B80A2B"/>
    <w:rsid w:val="00B815A5"/>
    <w:rsid w:val="00B81A6C"/>
    <w:rsid w:val="00B81BE4"/>
    <w:rsid w:val="00B82B84"/>
    <w:rsid w:val="00B842A0"/>
    <w:rsid w:val="00B8460D"/>
    <w:rsid w:val="00B85DE5"/>
    <w:rsid w:val="00B90F73"/>
    <w:rsid w:val="00B9125F"/>
    <w:rsid w:val="00B912BA"/>
    <w:rsid w:val="00B924EE"/>
    <w:rsid w:val="00B9371D"/>
    <w:rsid w:val="00B93B59"/>
    <w:rsid w:val="00B9406A"/>
    <w:rsid w:val="00B965F4"/>
    <w:rsid w:val="00BA2280"/>
    <w:rsid w:val="00BA2A08"/>
    <w:rsid w:val="00BA468E"/>
    <w:rsid w:val="00BA56D2"/>
    <w:rsid w:val="00BA5872"/>
    <w:rsid w:val="00BA62FA"/>
    <w:rsid w:val="00BA634F"/>
    <w:rsid w:val="00BA6C49"/>
    <w:rsid w:val="00BA76E0"/>
    <w:rsid w:val="00BB0976"/>
    <w:rsid w:val="00BB207A"/>
    <w:rsid w:val="00BB28ED"/>
    <w:rsid w:val="00BB2A25"/>
    <w:rsid w:val="00BB51E9"/>
    <w:rsid w:val="00BB5C77"/>
    <w:rsid w:val="00BB6024"/>
    <w:rsid w:val="00BC09B8"/>
    <w:rsid w:val="00BC0FDC"/>
    <w:rsid w:val="00BC1D29"/>
    <w:rsid w:val="00BC3053"/>
    <w:rsid w:val="00BC4D2E"/>
    <w:rsid w:val="00BC5E44"/>
    <w:rsid w:val="00BD00D1"/>
    <w:rsid w:val="00BD0C37"/>
    <w:rsid w:val="00BD0CF0"/>
    <w:rsid w:val="00BD1BE2"/>
    <w:rsid w:val="00BD445E"/>
    <w:rsid w:val="00BD48AC"/>
    <w:rsid w:val="00BD5C65"/>
    <w:rsid w:val="00BD5F1A"/>
    <w:rsid w:val="00BD762E"/>
    <w:rsid w:val="00BE0C77"/>
    <w:rsid w:val="00BE1234"/>
    <w:rsid w:val="00BE17CD"/>
    <w:rsid w:val="00BE2322"/>
    <w:rsid w:val="00BE2FA6"/>
    <w:rsid w:val="00BE333F"/>
    <w:rsid w:val="00BE7406"/>
    <w:rsid w:val="00BE7603"/>
    <w:rsid w:val="00BE773B"/>
    <w:rsid w:val="00BF0097"/>
    <w:rsid w:val="00BF3279"/>
    <w:rsid w:val="00BF4F26"/>
    <w:rsid w:val="00BF74C7"/>
    <w:rsid w:val="00C008AE"/>
    <w:rsid w:val="00C015F1"/>
    <w:rsid w:val="00C01F33"/>
    <w:rsid w:val="00C02CC6"/>
    <w:rsid w:val="00C02E46"/>
    <w:rsid w:val="00C040F7"/>
    <w:rsid w:val="00C041B0"/>
    <w:rsid w:val="00C044AB"/>
    <w:rsid w:val="00C05706"/>
    <w:rsid w:val="00C07377"/>
    <w:rsid w:val="00C07E87"/>
    <w:rsid w:val="00C10037"/>
    <w:rsid w:val="00C10478"/>
    <w:rsid w:val="00C10779"/>
    <w:rsid w:val="00C1093B"/>
    <w:rsid w:val="00C12107"/>
    <w:rsid w:val="00C14D4B"/>
    <w:rsid w:val="00C14E3C"/>
    <w:rsid w:val="00C14F1F"/>
    <w:rsid w:val="00C154BB"/>
    <w:rsid w:val="00C15D48"/>
    <w:rsid w:val="00C15F04"/>
    <w:rsid w:val="00C164FE"/>
    <w:rsid w:val="00C172C6"/>
    <w:rsid w:val="00C20166"/>
    <w:rsid w:val="00C21D57"/>
    <w:rsid w:val="00C24A9D"/>
    <w:rsid w:val="00C25F2F"/>
    <w:rsid w:val="00C27624"/>
    <w:rsid w:val="00C279B5"/>
    <w:rsid w:val="00C27C45"/>
    <w:rsid w:val="00C322A8"/>
    <w:rsid w:val="00C32380"/>
    <w:rsid w:val="00C36AB0"/>
    <w:rsid w:val="00C3719D"/>
    <w:rsid w:val="00C37778"/>
    <w:rsid w:val="00C40173"/>
    <w:rsid w:val="00C43E08"/>
    <w:rsid w:val="00C45DEE"/>
    <w:rsid w:val="00C46B47"/>
    <w:rsid w:val="00C46DAE"/>
    <w:rsid w:val="00C5028B"/>
    <w:rsid w:val="00C5215E"/>
    <w:rsid w:val="00C54995"/>
    <w:rsid w:val="00C54D41"/>
    <w:rsid w:val="00C564F4"/>
    <w:rsid w:val="00C57B03"/>
    <w:rsid w:val="00C60783"/>
    <w:rsid w:val="00C61C6C"/>
    <w:rsid w:val="00C63A7D"/>
    <w:rsid w:val="00C64672"/>
    <w:rsid w:val="00C66FD4"/>
    <w:rsid w:val="00C704D9"/>
    <w:rsid w:val="00C70697"/>
    <w:rsid w:val="00C716EC"/>
    <w:rsid w:val="00C72EF4"/>
    <w:rsid w:val="00C74957"/>
    <w:rsid w:val="00C758DF"/>
    <w:rsid w:val="00C75B34"/>
    <w:rsid w:val="00C75D2F"/>
    <w:rsid w:val="00C75F29"/>
    <w:rsid w:val="00C767BE"/>
    <w:rsid w:val="00C76E3C"/>
    <w:rsid w:val="00C77721"/>
    <w:rsid w:val="00C7775C"/>
    <w:rsid w:val="00C80444"/>
    <w:rsid w:val="00C80973"/>
    <w:rsid w:val="00C81568"/>
    <w:rsid w:val="00C822B5"/>
    <w:rsid w:val="00C876BF"/>
    <w:rsid w:val="00C9027A"/>
    <w:rsid w:val="00C9068E"/>
    <w:rsid w:val="00C92428"/>
    <w:rsid w:val="00C939AA"/>
    <w:rsid w:val="00C93C4B"/>
    <w:rsid w:val="00C944AB"/>
    <w:rsid w:val="00C95B40"/>
    <w:rsid w:val="00C95B67"/>
    <w:rsid w:val="00C968EC"/>
    <w:rsid w:val="00C96D68"/>
    <w:rsid w:val="00CA11B4"/>
    <w:rsid w:val="00CA1B65"/>
    <w:rsid w:val="00CA1ED8"/>
    <w:rsid w:val="00CA2D38"/>
    <w:rsid w:val="00CA424B"/>
    <w:rsid w:val="00CA4F77"/>
    <w:rsid w:val="00CA5262"/>
    <w:rsid w:val="00CB1F63"/>
    <w:rsid w:val="00CB456D"/>
    <w:rsid w:val="00CB462A"/>
    <w:rsid w:val="00CB4675"/>
    <w:rsid w:val="00CB6DFE"/>
    <w:rsid w:val="00CB7170"/>
    <w:rsid w:val="00CC040E"/>
    <w:rsid w:val="00CC111F"/>
    <w:rsid w:val="00CC15EA"/>
    <w:rsid w:val="00CC2011"/>
    <w:rsid w:val="00CC3EA0"/>
    <w:rsid w:val="00CC4B9F"/>
    <w:rsid w:val="00CC5691"/>
    <w:rsid w:val="00CC5738"/>
    <w:rsid w:val="00CC61B0"/>
    <w:rsid w:val="00CC61C9"/>
    <w:rsid w:val="00CC6F59"/>
    <w:rsid w:val="00CC7B45"/>
    <w:rsid w:val="00CD1188"/>
    <w:rsid w:val="00CD1429"/>
    <w:rsid w:val="00CD2ED1"/>
    <w:rsid w:val="00CD337B"/>
    <w:rsid w:val="00CD42BE"/>
    <w:rsid w:val="00CD582F"/>
    <w:rsid w:val="00CD5E55"/>
    <w:rsid w:val="00CD60E3"/>
    <w:rsid w:val="00CD676E"/>
    <w:rsid w:val="00CD7A35"/>
    <w:rsid w:val="00CD7B7A"/>
    <w:rsid w:val="00CD7CC2"/>
    <w:rsid w:val="00CE0424"/>
    <w:rsid w:val="00CE1295"/>
    <w:rsid w:val="00CE180F"/>
    <w:rsid w:val="00CE227E"/>
    <w:rsid w:val="00CE2C58"/>
    <w:rsid w:val="00CE36CF"/>
    <w:rsid w:val="00CE694F"/>
    <w:rsid w:val="00CE6967"/>
    <w:rsid w:val="00CE7561"/>
    <w:rsid w:val="00CF010C"/>
    <w:rsid w:val="00CF0BBE"/>
    <w:rsid w:val="00CF1354"/>
    <w:rsid w:val="00CF2734"/>
    <w:rsid w:val="00CF3B1F"/>
    <w:rsid w:val="00CF3BF6"/>
    <w:rsid w:val="00CF47EA"/>
    <w:rsid w:val="00CF625B"/>
    <w:rsid w:val="00CF687E"/>
    <w:rsid w:val="00CF7BA4"/>
    <w:rsid w:val="00D00035"/>
    <w:rsid w:val="00D033E3"/>
    <w:rsid w:val="00D0349B"/>
    <w:rsid w:val="00D04C4C"/>
    <w:rsid w:val="00D04FB0"/>
    <w:rsid w:val="00D10249"/>
    <w:rsid w:val="00D115C3"/>
    <w:rsid w:val="00D11897"/>
    <w:rsid w:val="00D11E1E"/>
    <w:rsid w:val="00D12C1B"/>
    <w:rsid w:val="00D12E10"/>
    <w:rsid w:val="00D13047"/>
    <w:rsid w:val="00D13135"/>
    <w:rsid w:val="00D13E4E"/>
    <w:rsid w:val="00D17D6A"/>
    <w:rsid w:val="00D20FB3"/>
    <w:rsid w:val="00D21B70"/>
    <w:rsid w:val="00D2323C"/>
    <w:rsid w:val="00D239A7"/>
    <w:rsid w:val="00D23F47"/>
    <w:rsid w:val="00D244C5"/>
    <w:rsid w:val="00D2450E"/>
    <w:rsid w:val="00D24D93"/>
    <w:rsid w:val="00D25D2B"/>
    <w:rsid w:val="00D266A9"/>
    <w:rsid w:val="00D31A4C"/>
    <w:rsid w:val="00D345A0"/>
    <w:rsid w:val="00D34D96"/>
    <w:rsid w:val="00D3599B"/>
    <w:rsid w:val="00D36BB2"/>
    <w:rsid w:val="00D36E71"/>
    <w:rsid w:val="00D37186"/>
    <w:rsid w:val="00D37D87"/>
    <w:rsid w:val="00D40B33"/>
    <w:rsid w:val="00D4318F"/>
    <w:rsid w:val="00D438BF"/>
    <w:rsid w:val="00D440F8"/>
    <w:rsid w:val="00D443E0"/>
    <w:rsid w:val="00D44875"/>
    <w:rsid w:val="00D500FF"/>
    <w:rsid w:val="00D50CCE"/>
    <w:rsid w:val="00D50F97"/>
    <w:rsid w:val="00D51702"/>
    <w:rsid w:val="00D52093"/>
    <w:rsid w:val="00D5231F"/>
    <w:rsid w:val="00D52EDC"/>
    <w:rsid w:val="00D546FF"/>
    <w:rsid w:val="00D55AD5"/>
    <w:rsid w:val="00D576CA"/>
    <w:rsid w:val="00D61AF5"/>
    <w:rsid w:val="00D61F8F"/>
    <w:rsid w:val="00D636A0"/>
    <w:rsid w:val="00D64104"/>
    <w:rsid w:val="00D644C1"/>
    <w:rsid w:val="00D64519"/>
    <w:rsid w:val="00D652B5"/>
    <w:rsid w:val="00D65797"/>
    <w:rsid w:val="00D66155"/>
    <w:rsid w:val="00D661CF"/>
    <w:rsid w:val="00D708B0"/>
    <w:rsid w:val="00D71D2F"/>
    <w:rsid w:val="00D72E70"/>
    <w:rsid w:val="00D745AB"/>
    <w:rsid w:val="00D74E34"/>
    <w:rsid w:val="00D76A8B"/>
    <w:rsid w:val="00D77B1D"/>
    <w:rsid w:val="00D8021F"/>
    <w:rsid w:val="00D80383"/>
    <w:rsid w:val="00D823C6"/>
    <w:rsid w:val="00D825E8"/>
    <w:rsid w:val="00D86CA3"/>
    <w:rsid w:val="00D871CE"/>
    <w:rsid w:val="00D9196D"/>
    <w:rsid w:val="00D91ACD"/>
    <w:rsid w:val="00D92982"/>
    <w:rsid w:val="00D92F39"/>
    <w:rsid w:val="00D9420F"/>
    <w:rsid w:val="00D94B67"/>
    <w:rsid w:val="00D9503E"/>
    <w:rsid w:val="00D967D5"/>
    <w:rsid w:val="00DA226D"/>
    <w:rsid w:val="00DA305E"/>
    <w:rsid w:val="00DA335A"/>
    <w:rsid w:val="00DA3FA6"/>
    <w:rsid w:val="00DA5417"/>
    <w:rsid w:val="00DA55EB"/>
    <w:rsid w:val="00DA56E8"/>
    <w:rsid w:val="00DB0A9F"/>
    <w:rsid w:val="00DB128C"/>
    <w:rsid w:val="00DB2E53"/>
    <w:rsid w:val="00DB377D"/>
    <w:rsid w:val="00DB4335"/>
    <w:rsid w:val="00DB5306"/>
    <w:rsid w:val="00DB6E61"/>
    <w:rsid w:val="00DC2D15"/>
    <w:rsid w:val="00DC2D36"/>
    <w:rsid w:val="00DC2D80"/>
    <w:rsid w:val="00DC3107"/>
    <w:rsid w:val="00DC3716"/>
    <w:rsid w:val="00DC3F27"/>
    <w:rsid w:val="00DC491F"/>
    <w:rsid w:val="00DC4D50"/>
    <w:rsid w:val="00DC53EF"/>
    <w:rsid w:val="00DC79AF"/>
    <w:rsid w:val="00DC7D97"/>
    <w:rsid w:val="00DD0F3B"/>
    <w:rsid w:val="00DD5680"/>
    <w:rsid w:val="00DD5C49"/>
    <w:rsid w:val="00DD6CB5"/>
    <w:rsid w:val="00DD6FC2"/>
    <w:rsid w:val="00DD7675"/>
    <w:rsid w:val="00DE18D8"/>
    <w:rsid w:val="00DE306E"/>
    <w:rsid w:val="00DE34DA"/>
    <w:rsid w:val="00DE4FEF"/>
    <w:rsid w:val="00DE5608"/>
    <w:rsid w:val="00DE58D0"/>
    <w:rsid w:val="00DE654F"/>
    <w:rsid w:val="00DF0AD0"/>
    <w:rsid w:val="00DF0B6E"/>
    <w:rsid w:val="00DF15E0"/>
    <w:rsid w:val="00DF31B7"/>
    <w:rsid w:val="00DF37A0"/>
    <w:rsid w:val="00DF4917"/>
    <w:rsid w:val="00E0774C"/>
    <w:rsid w:val="00E110E7"/>
    <w:rsid w:val="00E11B20"/>
    <w:rsid w:val="00E17FA2"/>
    <w:rsid w:val="00E20A6C"/>
    <w:rsid w:val="00E21714"/>
    <w:rsid w:val="00E21957"/>
    <w:rsid w:val="00E22330"/>
    <w:rsid w:val="00E2737B"/>
    <w:rsid w:val="00E27AA3"/>
    <w:rsid w:val="00E30225"/>
    <w:rsid w:val="00E30B5A"/>
    <w:rsid w:val="00E30C30"/>
    <w:rsid w:val="00E30D7C"/>
    <w:rsid w:val="00E3123D"/>
    <w:rsid w:val="00E31461"/>
    <w:rsid w:val="00E31D43"/>
    <w:rsid w:val="00E32608"/>
    <w:rsid w:val="00E3289B"/>
    <w:rsid w:val="00E3391C"/>
    <w:rsid w:val="00E34188"/>
    <w:rsid w:val="00E34B6E"/>
    <w:rsid w:val="00E35387"/>
    <w:rsid w:val="00E35559"/>
    <w:rsid w:val="00E35933"/>
    <w:rsid w:val="00E3723A"/>
    <w:rsid w:val="00E37860"/>
    <w:rsid w:val="00E42B35"/>
    <w:rsid w:val="00E43C38"/>
    <w:rsid w:val="00E446F1"/>
    <w:rsid w:val="00E45919"/>
    <w:rsid w:val="00E467A5"/>
    <w:rsid w:val="00E46886"/>
    <w:rsid w:val="00E47AEF"/>
    <w:rsid w:val="00E50177"/>
    <w:rsid w:val="00E50188"/>
    <w:rsid w:val="00E5131B"/>
    <w:rsid w:val="00E53B75"/>
    <w:rsid w:val="00E54E3B"/>
    <w:rsid w:val="00E55DFA"/>
    <w:rsid w:val="00E57565"/>
    <w:rsid w:val="00E62AD4"/>
    <w:rsid w:val="00E62CF0"/>
    <w:rsid w:val="00E63838"/>
    <w:rsid w:val="00E64434"/>
    <w:rsid w:val="00E669F1"/>
    <w:rsid w:val="00E67C51"/>
    <w:rsid w:val="00E67DEC"/>
    <w:rsid w:val="00E70EEC"/>
    <w:rsid w:val="00E71CF8"/>
    <w:rsid w:val="00E71E34"/>
    <w:rsid w:val="00E72EFC"/>
    <w:rsid w:val="00E7355D"/>
    <w:rsid w:val="00E73652"/>
    <w:rsid w:val="00E751CE"/>
    <w:rsid w:val="00E758EC"/>
    <w:rsid w:val="00E75ED5"/>
    <w:rsid w:val="00E76E18"/>
    <w:rsid w:val="00E80385"/>
    <w:rsid w:val="00E8234C"/>
    <w:rsid w:val="00E82C4D"/>
    <w:rsid w:val="00E83064"/>
    <w:rsid w:val="00E83AA9"/>
    <w:rsid w:val="00E83AC9"/>
    <w:rsid w:val="00E85928"/>
    <w:rsid w:val="00E85A3D"/>
    <w:rsid w:val="00E87822"/>
    <w:rsid w:val="00E90395"/>
    <w:rsid w:val="00E90E49"/>
    <w:rsid w:val="00E917F9"/>
    <w:rsid w:val="00E9291C"/>
    <w:rsid w:val="00E93FFE"/>
    <w:rsid w:val="00E94F8A"/>
    <w:rsid w:val="00E9583B"/>
    <w:rsid w:val="00E96EC5"/>
    <w:rsid w:val="00E97CB3"/>
    <w:rsid w:val="00EA07C4"/>
    <w:rsid w:val="00EA30CC"/>
    <w:rsid w:val="00EA41B8"/>
    <w:rsid w:val="00EA4A9E"/>
    <w:rsid w:val="00EA54ED"/>
    <w:rsid w:val="00EA7A41"/>
    <w:rsid w:val="00EB077B"/>
    <w:rsid w:val="00EB3AF5"/>
    <w:rsid w:val="00EB4C93"/>
    <w:rsid w:val="00EB4EA2"/>
    <w:rsid w:val="00EB5722"/>
    <w:rsid w:val="00EC24C5"/>
    <w:rsid w:val="00EC27C6"/>
    <w:rsid w:val="00EC4207"/>
    <w:rsid w:val="00EC5653"/>
    <w:rsid w:val="00EC6838"/>
    <w:rsid w:val="00EC7041"/>
    <w:rsid w:val="00EC71CE"/>
    <w:rsid w:val="00EC781B"/>
    <w:rsid w:val="00EC78F2"/>
    <w:rsid w:val="00ED1006"/>
    <w:rsid w:val="00ED3BA3"/>
    <w:rsid w:val="00ED4531"/>
    <w:rsid w:val="00ED4BD4"/>
    <w:rsid w:val="00ED6A87"/>
    <w:rsid w:val="00EE024F"/>
    <w:rsid w:val="00EE3DCA"/>
    <w:rsid w:val="00EE66C7"/>
    <w:rsid w:val="00EE7DBF"/>
    <w:rsid w:val="00EE7F10"/>
    <w:rsid w:val="00EF0C74"/>
    <w:rsid w:val="00EF18FE"/>
    <w:rsid w:val="00EF191A"/>
    <w:rsid w:val="00EF1EA9"/>
    <w:rsid w:val="00EF3C49"/>
    <w:rsid w:val="00EF5787"/>
    <w:rsid w:val="00EF5838"/>
    <w:rsid w:val="00EF60D0"/>
    <w:rsid w:val="00EF6670"/>
    <w:rsid w:val="00EF68A2"/>
    <w:rsid w:val="00EF7623"/>
    <w:rsid w:val="00F01A05"/>
    <w:rsid w:val="00F01B4A"/>
    <w:rsid w:val="00F02322"/>
    <w:rsid w:val="00F02DB2"/>
    <w:rsid w:val="00F02EAC"/>
    <w:rsid w:val="00F0320F"/>
    <w:rsid w:val="00F03D6C"/>
    <w:rsid w:val="00F0528D"/>
    <w:rsid w:val="00F063CF"/>
    <w:rsid w:val="00F06C67"/>
    <w:rsid w:val="00F06DFD"/>
    <w:rsid w:val="00F071D1"/>
    <w:rsid w:val="00F07533"/>
    <w:rsid w:val="00F078E5"/>
    <w:rsid w:val="00F10629"/>
    <w:rsid w:val="00F141C0"/>
    <w:rsid w:val="00F15FA5"/>
    <w:rsid w:val="00F169CF"/>
    <w:rsid w:val="00F17EE5"/>
    <w:rsid w:val="00F20681"/>
    <w:rsid w:val="00F209B7"/>
    <w:rsid w:val="00F20EBF"/>
    <w:rsid w:val="00F22B8F"/>
    <w:rsid w:val="00F2376F"/>
    <w:rsid w:val="00F243D8"/>
    <w:rsid w:val="00F25605"/>
    <w:rsid w:val="00F25E84"/>
    <w:rsid w:val="00F27CCB"/>
    <w:rsid w:val="00F30394"/>
    <w:rsid w:val="00F30828"/>
    <w:rsid w:val="00F309B2"/>
    <w:rsid w:val="00F313D6"/>
    <w:rsid w:val="00F32B3E"/>
    <w:rsid w:val="00F33183"/>
    <w:rsid w:val="00F40F0C"/>
    <w:rsid w:val="00F41D75"/>
    <w:rsid w:val="00F425D5"/>
    <w:rsid w:val="00F473CA"/>
    <w:rsid w:val="00F4766C"/>
    <w:rsid w:val="00F507D1"/>
    <w:rsid w:val="00F513EF"/>
    <w:rsid w:val="00F519CE"/>
    <w:rsid w:val="00F51ADA"/>
    <w:rsid w:val="00F54D7D"/>
    <w:rsid w:val="00F563F5"/>
    <w:rsid w:val="00F56BBD"/>
    <w:rsid w:val="00F578CB"/>
    <w:rsid w:val="00F607C5"/>
    <w:rsid w:val="00F60DEA"/>
    <w:rsid w:val="00F61CF3"/>
    <w:rsid w:val="00F6294D"/>
    <w:rsid w:val="00F6302A"/>
    <w:rsid w:val="00F63775"/>
    <w:rsid w:val="00F64C2B"/>
    <w:rsid w:val="00F651BE"/>
    <w:rsid w:val="00F66EB7"/>
    <w:rsid w:val="00F67F53"/>
    <w:rsid w:val="00F703BE"/>
    <w:rsid w:val="00F71F69"/>
    <w:rsid w:val="00F72947"/>
    <w:rsid w:val="00F72B72"/>
    <w:rsid w:val="00F73AE2"/>
    <w:rsid w:val="00F74BB9"/>
    <w:rsid w:val="00F75582"/>
    <w:rsid w:val="00F76CA5"/>
    <w:rsid w:val="00F76DBA"/>
    <w:rsid w:val="00F76EFA"/>
    <w:rsid w:val="00F804BE"/>
    <w:rsid w:val="00F80B59"/>
    <w:rsid w:val="00F817CE"/>
    <w:rsid w:val="00F84440"/>
    <w:rsid w:val="00F8456C"/>
    <w:rsid w:val="00F84586"/>
    <w:rsid w:val="00F859D8"/>
    <w:rsid w:val="00F868F5"/>
    <w:rsid w:val="00F9056A"/>
    <w:rsid w:val="00F90F8D"/>
    <w:rsid w:val="00F92782"/>
    <w:rsid w:val="00F936A9"/>
    <w:rsid w:val="00F93AA9"/>
    <w:rsid w:val="00F95C49"/>
    <w:rsid w:val="00F96985"/>
    <w:rsid w:val="00F97310"/>
    <w:rsid w:val="00F97838"/>
    <w:rsid w:val="00FA11E7"/>
    <w:rsid w:val="00FA2BB3"/>
    <w:rsid w:val="00FA3D4C"/>
    <w:rsid w:val="00FA46B8"/>
    <w:rsid w:val="00FA5448"/>
    <w:rsid w:val="00FA56C6"/>
    <w:rsid w:val="00FA6742"/>
    <w:rsid w:val="00FA6F0B"/>
    <w:rsid w:val="00FA7634"/>
    <w:rsid w:val="00FA7BF1"/>
    <w:rsid w:val="00FB0938"/>
    <w:rsid w:val="00FB1472"/>
    <w:rsid w:val="00FB40B5"/>
    <w:rsid w:val="00FB4C80"/>
    <w:rsid w:val="00FB545B"/>
    <w:rsid w:val="00FB57D8"/>
    <w:rsid w:val="00FB6A6A"/>
    <w:rsid w:val="00FB7965"/>
    <w:rsid w:val="00FC23A3"/>
    <w:rsid w:val="00FC3ED5"/>
    <w:rsid w:val="00FC7429"/>
    <w:rsid w:val="00FC7AFC"/>
    <w:rsid w:val="00FD0620"/>
    <w:rsid w:val="00FD07F6"/>
    <w:rsid w:val="00FD0A60"/>
    <w:rsid w:val="00FD1EC8"/>
    <w:rsid w:val="00FD2222"/>
    <w:rsid w:val="00FD47ED"/>
    <w:rsid w:val="00FD5DD1"/>
    <w:rsid w:val="00FD74DB"/>
    <w:rsid w:val="00FD7660"/>
    <w:rsid w:val="00FE0655"/>
    <w:rsid w:val="00FE2365"/>
    <w:rsid w:val="00FE3DDF"/>
    <w:rsid w:val="00FE4C7B"/>
    <w:rsid w:val="00FE6989"/>
    <w:rsid w:val="00FE7336"/>
    <w:rsid w:val="00FE787C"/>
    <w:rsid w:val="00FF09CC"/>
    <w:rsid w:val="00FF1171"/>
    <w:rsid w:val="00FF12BE"/>
    <w:rsid w:val="00FF2AE3"/>
    <w:rsid w:val="00FF319F"/>
    <w:rsid w:val="00FF3D2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66A9"/>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D266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66A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BA634F"/>
    <w:rPr>
      <w:color w:val="808080"/>
    </w:rPr>
  </w:style>
  <w:style w:type="paragraph" w:customStyle="1" w:styleId="Doc-text2">
    <w:name w:val="Doc-text2"/>
    <w:basedOn w:val="Normal"/>
    <w:link w:val="Doc-text2Char"/>
    <w:qFormat/>
    <w:rsid w:val="00C716EC"/>
    <w:pPr>
      <w:tabs>
        <w:tab w:val="left" w:pos="1622"/>
      </w:tabs>
      <w:spacing w:after="180"/>
      <w:ind w:left="1622" w:hanging="363"/>
    </w:pPr>
    <w:rPr>
      <w:rFonts w:eastAsia="MS Mincho"/>
      <w:szCs w:val="24"/>
      <w:lang w:eastAsia="en-GB"/>
    </w:rPr>
  </w:style>
  <w:style w:type="character" w:customStyle="1" w:styleId="Doc-text2Char">
    <w:name w:val="Doc-text2 Char"/>
    <w:link w:val="Doc-text2"/>
    <w:rsid w:val="00C716EC"/>
    <w:rPr>
      <w:rFonts w:ascii="Arial" w:eastAsia="MS Mincho" w:hAnsi="Arial"/>
      <w:szCs w:val="24"/>
      <w:lang w:val="en-GB" w:eastAsia="en-GB"/>
    </w:rPr>
  </w:style>
  <w:style w:type="paragraph" w:customStyle="1" w:styleId="Doc-title">
    <w:name w:val="Doc-title"/>
    <w:basedOn w:val="Normal"/>
    <w:next w:val="Doc-text2"/>
    <w:link w:val="Doc-titleChar"/>
    <w:qFormat/>
    <w:rsid w:val="007129DA"/>
    <w:pPr>
      <w:spacing w:after="0"/>
      <w:ind w:left="1260" w:hanging="1260"/>
    </w:pPr>
    <w:rPr>
      <w:rFonts w:eastAsia="MS Mincho"/>
      <w:szCs w:val="24"/>
      <w:lang w:eastAsia="en-GB"/>
    </w:rPr>
  </w:style>
  <w:style w:type="character" w:customStyle="1" w:styleId="Doc-titleChar">
    <w:name w:val="Doc-title Char"/>
    <w:basedOn w:val="DefaultParagraphFont"/>
    <w:link w:val="Doc-title"/>
    <w:rsid w:val="007129DA"/>
    <w:rPr>
      <w:rFonts w:ascii="Arial" w:eastAsia="MS Mincho" w:hAnsi="Arial"/>
      <w:szCs w:val="24"/>
      <w:lang w:val="en-GB" w:eastAsia="en-GB"/>
    </w:rPr>
  </w:style>
  <w:style w:type="character" w:styleId="Mention">
    <w:name w:val="Mention"/>
    <w:basedOn w:val="DefaultParagraphFont"/>
    <w:uiPriority w:val="99"/>
    <w:semiHidden/>
    <w:unhideWhenUsed/>
    <w:rsid w:val="00307740"/>
    <w:rPr>
      <w:color w:val="2B579A"/>
      <w:shd w:val="clear" w:color="auto" w:fill="E6E6E6"/>
    </w:rPr>
  </w:style>
  <w:style w:type="paragraph" w:customStyle="1" w:styleId="IvDbodytext">
    <w:name w:val="IvD bodytext"/>
    <w:basedOn w:val="BodyText"/>
    <w:link w:val="IvDbodytextChar"/>
    <w:rsid w:val="00CA11B4"/>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CA11B4"/>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4925">
      <w:bodyDiv w:val="1"/>
      <w:marLeft w:val="0"/>
      <w:marRight w:val="0"/>
      <w:marTop w:val="0"/>
      <w:marBottom w:val="0"/>
      <w:divBdr>
        <w:top w:val="none" w:sz="0" w:space="0" w:color="auto"/>
        <w:left w:val="none" w:sz="0" w:space="0" w:color="auto"/>
        <w:bottom w:val="none" w:sz="0" w:space="0" w:color="auto"/>
        <w:right w:val="none" w:sz="0" w:space="0" w:color="auto"/>
      </w:divBdr>
      <w:divsChild>
        <w:div w:id="738946983">
          <w:marLeft w:val="360"/>
          <w:marRight w:val="0"/>
          <w:marTop w:val="200"/>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16068003">
      <w:bodyDiv w:val="1"/>
      <w:marLeft w:val="0"/>
      <w:marRight w:val="0"/>
      <w:marTop w:val="0"/>
      <w:marBottom w:val="0"/>
      <w:divBdr>
        <w:top w:val="none" w:sz="0" w:space="0" w:color="auto"/>
        <w:left w:val="none" w:sz="0" w:space="0" w:color="auto"/>
        <w:bottom w:val="none" w:sz="0" w:space="0" w:color="auto"/>
        <w:right w:val="none" w:sz="0" w:space="0" w:color="auto"/>
      </w:divBdr>
      <w:divsChild>
        <w:div w:id="343167781">
          <w:marLeft w:val="360"/>
          <w:marRight w:val="0"/>
          <w:marTop w:val="200"/>
          <w:marBottom w:val="0"/>
          <w:divBdr>
            <w:top w:val="none" w:sz="0" w:space="0" w:color="auto"/>
            <w:left w:val="none" w:sz="0" w:space="0" w:color="auto"/>
            <w:bottom w:val="none" w:sz="0" w:space="0" w:color="auto"/>
            <w:right w:val="none" w:sz="0" w:space="0" w:color="auto"/>
          </w:divBdr>
        </w:div>
        <w:div w:id="614098873">
          <w:marLeft w:val="1080"/>
          <w:marRight w:val="0"/>
          <w:marTop w:val="100"/>
          <w:marBottom w:val="0"/>
          <w:divBdr>
            <w:top w:val="none" w:sz="0" w:space="0" w:color="auto"/>
            <w:left w:val="none" w:sz="0" w:space="0" w:color="auto"/>
            <w:bottom w:val="none" w:sz="0" w:space="0" w:color="auto"/>
            <w:right w:val="none" w:sz="0" w:space="0" w:color="auto"/>
          </w:divBdr>
        </w:div>
        <w:div w:id="928274488">
          <w:marLeft w:val="1800"/>
          <w:marRight w:val="0"/>
          <w:marTop w:val="100"/>
          <w:marBottom w:val="0"/>
          <w:divBdr>
            <w:top w:val="none" w:sz="0" w:space="0" w:color="auto"/>
            <w:left w:val="none" w:sz="0" w:space="0" w:color="auto"/>
            <w:bottom w:val="none" w:sz="0" w:space="0" w:color="auto"/>
            <w:right w:val="none" w:sz="0" w:space="0" w:color="auto"/>
          </w:divBdr>
        </w:div>
        <w:div w:id="1559975196">
          <w:marLeft w:val="1080"/>
          <w:marRight w:val="0"/>
          <w:marTop w:val="100"/>
          <w:marBottom w:val="0"/>
          <w:divBdr>
            <w:top w:val="none" w:sz="0" w:space="0" w:color="auto"/>
            <w:left w:val="none" w:sz="0" w:space="0" w:color="auto"/>
            <w:bottom w:val="none" w:sz="0" w:space="0" w:color="auto"/>
            <w:right w:val="none" w:sz="0" w:space="0" w:color="auto"/>
          </w:divBdr>
        </w:div>
        <w:div w:id="1360278096">
          <w:marLeft w:val="360"/>
          <w:marRight w:val="0"/>
          <w:marTop w:val="200"/>
          <w:marBottom w:val="0"/>
          <w:divBdr>
            <w:top w:val="none" w:sz="0" w:space="0" w:color="auto"/>
            <w:left w:val="none" w:sz="0" w:space="0" w:color="auto"/>
            <w:bottom w:val="none" w:sz="0" w:space="0" w:color="auto"/>
            <w:right w:val="none" w:sz="0" w:space="0" w:color="auto"/>
          </w:divBdr>
        </w:div>
        <w:div w:id="874543233">
          <w:marLeft w:val="360"/>
          <w:marRight w:val="0"/>
          <w:marTop w:val="200"/>
          <w:marBottom w:val="0"/>
          <w:divBdr>
            <w:top w:val="none" w:sz="0" w:space="0" w:color="auto"/>
            <w:left w:val="none" w:sz="0" w:space="0" w:color="auto"/>
            <w:bottom w:val="none" w:sz="0" w:space="0" w:color="auto"/>
            <w:right w:val="none" w:sz="0" w:space="0" w:color="auto"/>
          </w:divBdr>
        </w:div>
      </w:divsChild>
    </w:div>
    <w:div w:id="127090550">
      <w:bodyDiv w:val="1"/>
      <w:marLeft w:val="0"/>
      <w:marRight w:val="0"/>
      <w:marTop w:val="0"/>
      <w:marBottom w:val="0"/>
      <w:divBdr>
        <w:top w:val="none" w:sz="0" w:space="0" w:color="auto"/>
        <w:left w:val="none" w:sz="0" w:space="0" w:color="auto"/>
        <w:bottom w:val="none" w:sz="0" w:space="0" w:color="auto"/>
        <w:right w:val="none" w:sz="0" w:space="0" w:color="auto"/>
      </w:divBdr>
    </w:div>
    <w:div w:id="176576354">
      <w:bodyDiv w:val="1"/>
      <w:marLeft w:val="0"/>
      <w:marRight w:val="0"/>
      <w:marTop w:val="0"/>
      <w:marBottom w:val="0"/>
      <w:divBdr>
        <w:top w:val="none" w:sz="0" w:space="0" w:color="auto"/>
        <w:left w:val="none" w:sz="0" w:space="0" w:color="auto"/>
        <w:bottom w:val="none" w:sz="0" w:space="0" w:color="auto"/>
        <w:right w:val="none" w:sz="0" w:space="0" w:color="auto"/>
      </w:divBdr>
      <w:divsChild>
        <w:div w:id="700320648">
          <w:marLeft w:val="1411"/>
          <w:marRight w:val="0"/>
          <w:marTop w:val="96"/>
          <w:marBottom w:val="0"/>
          <w:divBdr>
            <w:top w:val="none" w:sz="0" w:space="0" w:color="auto"/>
            <w:left w:val="none" w:sz="0" w:space="0" w:color="auto"/>
            <w:bottom w:val="none" w:sz="0" w:space="0" w:color="auto"/>
            <w:right w:val="none" w:sz="0" w:space="0" w:color="auto"/>
          </w:divBdr>
        </w:div>
        <w:div w:id="751466377">
          <w:marLeft w:val="1411"/>
          <w:marRight w:val="0"/>
          <w:marTop w:val="96"/>
          <w:marBottom w:val="0"/>
          <w:divBdr>
            <w:top w:val="none" w:sz="0" w:space="0" w:color="auto"/>
            <w:left w:val="none" w:sz="0" w:space="0" w:color="auto"/>
            <w:bottom w:val="none" w:sz="0" w:space="0" w:color="auto"/>
            <w:right w:val="none" w:sz="0" w:space="0" w:color="auto"/>
          </w:divBdr>
        </w:div>
        <w:div w:id="770005221">
          <w:marLeft w:val="1411"/>
          <w:marRight w:val="0"/>
          <w:marTop w:val="96"/>
          <w:marBottom w:val="0"/>
          <w:divBdr>
            <w:top w:val="none" w:sz="0" w:space="0" w:color="auto"/>
            <w:left w:val="none" w:sz="0" w:space="0" w:color="auto"/>
            <w:bottom w:val="none" w:sz="0" w:space="0" w:color="auto"/>
            <w:right w:val="none" w:sz="0" w:space="0" w:color="auto"/>
          </w:divBdr>
        </w:div>
        <w:div w:id="811408338">
          <w:marLeft w:val="1411"/>
          <w:marRight w:val="0"/>
          <w:marTop w:val="96"/>
          <w:marBottom w:val="0"/>
          <w:divBdr>
            <w:top w:val="none" w:sz="0" w:space="0" w:color="auto"/>
            <w:left w:val="none" w:sz="0" w:space="0" w:color="auto"/>
            <w:bottom w:val="none" w:sz="0" w:space="0" w:color="auto"/>
            <w:right w:val="none" w:sz="0" w:space="0" w:color="auto"/>
          </w:divBdr>
        </w:div>
        <w:div w:id="831145610">
          <w:marLeft w:val="1411"/>
          <w:marRight w:val="0"/>
          <w:marTop w:val="96"/>
          <w:marBottom w:val="0"/>
          <w:divBdr>
            <w:top w:val="none" w:sz="0" w:space="0" w:color="auto"/>
            <w:left w:val="none" w:sz="0" w:space="0" w:color="auto"/>
            <w:bottom w:val="none" w:sz="0" w:space="0" w:color="auto"/>
            <w:right w:val="none" w:sz="0" w:space="0" w:color="auto"/>
          </w:divBdr>
        </w:div>
        <w:div w:id="903297091">
          <w:marLeft w:val="1411"/>
          <w:marRight w:val="0"/>
          <w:marTop w:val="96"/>
          <w:marBottom w:val="0"/>
          <w:divBdr>
            <w:top w:val="none" w:sz="0" w:space="0" w:color="auto"/>
            <w:left w:val="none" w:sz="0" w:space="0" w:color="auto"/>
            <w:bottom w:val="none" w:sz="0" w:space="0" w:color="auto"/>
            <w:right w:val="none" w:sz="0" w:space="0" w:color="auto"/>
          </w:divBdr>
        </w:div>
        <w:div w:id="1943757877">
          <w:marLeft w:val="835"/>
          <w:marRight w:val="0"/>
          <w:marTop w:val="96"/>
          <w:marBottom w:val="0"/>
          <w:divBdr>
            <w:top w:val="none" w:sz="0" w:space="0" w:color="auto"/>
            <w:left w:val="none" w:sz="0" w:space="0" w:color="auto"/>
            <w:bottom w:val="none" w:sz="0" w:space="0" w:color="auto"/>
            <w:right w:val="none" w:sz="0" w:space="0" w:color="auto"/>
          </w:divBdr>
        </w:div>
      </w:divsChild>
    </w:div>
    <w:div w:id="191571938">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863861663">
      <w:bodyDiv w:val="1"/>
      <w:marLeft w:val="0"/>
      <w:marRight w:val="0"/>
      <w:marTop w:val="0"/>
      <w:marBottom w:val="0"/>
      <w:divBdr>
        <w:top w:val="none" w:sz="0" w:space="0" w:color="auto"/>
        <w:left w:val="none" w:sz="0" w:space="0" w:color="auto"/>
        <w:bottom w:val="none" w:sz="0" w:space="0" w:color="auto"/>
        <w:right w:val="none" w:sz="0" w:space="0" w:color="auto"/>
      </w:divBdr>
      <w:divsChild>
        <w:div w:id="1519847756">
          <w:marLeft w:val="360"/>
          <w:marRight w:val="0"/>
          <w:marTop w:val="200"/>
          <w:marBottom w:val="0"/>
          <w:divBdr>
            <w:top w:val="none" w:sz="0" w:space="0" w:color="auto"/>
            <w:left w:val="none" w:sz="0" w:space="0" w:color="auto"/>
            <w:bottom w:val="none" w:sz="0" w:space="0" w:color="auto"/>
            <w:right w:val="none" w:sz="0" w:space="0" w:color="auto"/>
          </w:divBdr>
        </w:div>
      </w:divsChild>
    </w:div>
    <w:div w:id="901525189">
      <w:bodyDiv w:val="1"/>
      <w:marLeft w:val="0"/>
      <w:marRight w:val="0"/>
      <w:marTop w:val="0"/>
      <w:marBottom w:val="0"/>
      <w:divBdr>
        <w:top w:val="none" w:sz="0" w:space="0" w:color="auto"/>
        <w:left w:val="none" w:sz="0" w:space="0" w:color="auto"/>
        <w:bottom w:val="none" w:sz="0" w:space="0" w:color="auto"/>
        <w:right w:val="none" w:sz="0" w:space="0" w:color="auto"/>
      </w:divBdr>
    </w:div>
    <w:div w:id="9788049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05699360">
      <w:bodyDiv w:val="1"/>
      <w:marLeft w:val="0"/>
      <w:marRight w:val="0"/>
      <w:marTop w:val="0"/>
      <w:marBottom w:val="0"/>
      <w:divBdr>
        <w:top w:val="none" w:sz="0" w:space="0" w:color="auto"/>
        <w:left w:val="none" w:sz="0" w:space="0" w:color="auto"/>
        <w:bottom w:val="none" w:sz="0" w:space="0" w:color="auto"/>
        <w:right w:val="none" w:sz="0" w:space="0" w:color="auto"/>
      </w:divBdr>
      <w:divsChild>
        <w:div w:id="160707343">
          <w:marLeft w:val="360"/>
          <w:marRight w:val="0"/>
          <w:marTop w:val="200"/>
          <w:marBottom w:val="0"/>
          <w:divBdr>
            <w:top w:val="none" w:sz="0" w:space="0" w:color="auto"/>
            <w:left w:val="none" w:sz="0" w:space="0" w:color="auto"/>
            <w:bottom w:val="none" w:sz="0" w:space="0" w:color="auto"/>
            <w:right w:val="none" w:sz="0" w:space="0" w:color="auto"/>
          </w:divBdr>
        </w:div>
        <w:div w:id="1912157699">
          <w:marLeft w:val="1080"/>
          <w:marRight w:val="0"/>
          <w:marTop w:val="100"/>
          <w:marBottom w:val="0"/>
          <w:divBdr>
            <w:top w:val="none" w:sz="0" w:space="0" w:color="auto"/>
            <w:left w:val="none" w:sz="0" w:space="0" w:color="auto"/>
            <w:bottom w:val="none" w:sz="0" w:space="0" w:color="auto"/>
            <w:right w:val="none" w:sz="0" w:space="0" w:color="auto"/>
          </w:divBdr>
        </w:div>
        <w:div w:id="1417703024">
          <w:marLeft w:val="1800"/>
          <w:marRight w:val="0"/>
          <w:marTop w:val="100"/>
          <w:marBottom w:val="0"/>
          <w:divBdr>
            <w:top w:val="none" w:sz="0" w:space="0" w:color="auto"/>
            <w:left w:val="none" w:sz="0" w:space="0" w:color="auto"/>
            <w:bottom w:val="none" w:sz="0" w:space="0" w:color="auto"/>
            <w:right w:val="none" w:sz="0" w:space="0" w:color="auto"/>
          </w:divBdr>
        </w:div>
        <w:div w:id="1259213387">
          <w:marLeft w:val="1800"/>
          <w:marRight w:val="0"/>
          <w:marTop w:val="100"/>
          <w:marBottom w:val="0"/>
          <w:divBdr>
            <w:top w:val="none" w:sz="0" w:space="0" w:color="auto"/>
            <w:left w:val="none" w:sz="0" w:space="0" w:color="auto"/>
            <w:bottom w:val="none" w:sz="0" w:space="0" w:color="auto"/>
            <w:right w:val="none" w:sz="0" w:space="0" w:color="auto"/>
          </w:divBdr>
        </w:div>
        <w:div w:id="780999773">
          <w:marLeft w:val="1080"/>
          <w:marRight w:val="0"/>
          <w:marTop w:val="100"/>
          <w:marBottom w:val="0"/>
          <w:divBdr>
            <w:top w:val="none" w:sz="0" w:space="0" w:color="auto"/>
            <w:left w:val="none" w:sz="0" w:space="0" w:color="auto"/>
            <w:bottom w:val="none" w:sz="0" w:space="0" w:color="auto"/>
            <w:right w:val="none" w:sz="0" w:space="0" w:color="auto"/>
          </w:divBdr>
        </w:div>
        <w:div w:id="674772354">
          <w:marLeft w:val="360"/>
          <w:marRight w:val="0"/>
          <w:marTop w:val="200"/>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0477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DATA\3GPP\RAN2\Docs\R2-1655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13D7E-1358-4CE3-9305-F42B541AB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3466</Words>
  <Characters>18375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2017-09-04T09:01:00Z</dcterms:created>
  <dcterms:modified xsi:type="dcterms:W3CDTF">2017-11-17T21:34:00Z</dcterms:modified>
</cp:coreProperties>
</file>